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w:t>
      </w:r>
      <w:r>
        <w:rPr>
          <w:rFonts w:ascii="Times New Roman" w:hAnsi="Times New Roman" w:hint="default"/>
          <w:b w:val="1"/>
          <w:bCs w:val="1"/>
          <w:sz w:val="28"/>
          <w:szCs w:val="28"/>
          <w:rtl w:val="0"/>
          <w:lang w:val="ru-RU"/>
        </w:rPr>
        <w:t xml:space="preserve">аспространенность </w:t>
      </w:r>
      <w:r>
        <w:rPr>
          <w:rFonts w:ascii="Times New Roman" w:hAnsi="Times New Roman"/>
          <w:b w:val="1"/>
          <w:bCs w:val="1"/>
          <w:sz w:val="28"/>
          <w:szCs w:val="28"/>
          <w:rtl w:val="0"/>
          <w:lang w:val="it-IT"/>
        </w:rPr>
        <w:t>(prevalence)</w:t>
      </w:r>
      <w:r>
        <w:rPr>
          <w:rFonts w:ascii="Times New Roman" w:hAnsi="Times New Roman"/>
          <w:b w:val="1"/>
          <w:bCs w:val="1"/>
          <w:sz w:val="28"/>
          <w:szCs w:val="28"/>
          <w:rtl w:val="0"/>
          <w:lang w:val="en-US"/>
        </w:rPr>
        <w:t>:</w:t>
      </w:r>
    </w:p>
    <w:p>
      <w:pPr>
        <w:pStyle w:val="Основной текст A"/>
        <w:rPr>
          <w:rFonts w:ascii="Times New Roman" w:cs="Times New Roman" w:hAnsi="Times New Roman" w:eastAsia="Times New Roman"/>
          <w:sz w:val="28"/>
          <w:szCs w:val="28"/>
        </w:rPr>
      </w:pPr>
    </w:p>
    <w:p>
      <w:pPr>
        <w:pStyle w:val="Основной текст A"/>
        <w:rPr>
          <w:rStyle w:val="Нет"/>
          <w:rFonts w:ascii="Times New Roman" w:cs="Times New Roman" w:hAnsi="Times New Roman" w:eastAsia="Times New Roman"/>
          <w:sz w:val="28"/>
          <w:szCs w:val="28"/>
        </w:rPr>
      </w:pPr>
      <w:r>
        <w:rPr>
          <w:rStyle w:val="Hyperlink.0"/>
          <w:rFonts w:ascii="Times New Roman" w:cs="Times New Roman" w:hAnsi="Times New Roman" w:eastAsia="Times New Roman"/>
          <w:sz w:val="28"/>
          <w:szCs w:val="28"/>
          <w:u w:val="single"/>
          <w:lang w:val="ru-RU"/>
        </w:rPr>
        <w:fldChar w:fldCharType="begin" w:fldLock="0"/>
      </w:r>
      <w:r>
        <w:rPr>
          <w:rStyle w:val="Hyperlink.0"/>
          <w:rFonts w:ascii="Times New Roman" w:cs="Times New Roman" w:hAnsi="Times New Roman" w:eastAsia="Times New Roman"/>
          <w:sz w:val="28"/>
          <w:szCs w:val="28"/>
          <w:u w:val="single"/>
          <w:lang w:val="ru-RU"/>
        </w:rPr>
        <w:instrText xml:space="preserve"> HYPERLINK "https://www.nejm.org/doi/full/10.1056/NEJMoa2211803"</w:instrText>
      </w:r>
      <w:r>
        <w:rPr>
          <w:rStyle w:val="Hyperlink.0"/>
          <w:rFonts w:ascii="Times New Roman" w:cs="Times New Roman" w:hAnsi="Times New Roman" w:eastAsia="Times New Roman"/>
          <w:sz w:val="28"/>
          <w:szCs w:val="28"/>
          <w:u w:val="single"/>
          <w:lang w:val="ru-RU"/>
        </w:rPr>
        <w:fldChar w:fldCharType="separate" w:fldLock="0"/>
      </w:r>
      <w:r>
        <w:rPr>
          <w:rStyle w:val="Hyperlink.0"/>
          <w:rFonts w:ascii="Times New Roman" w:hAnsi="Times New Roman"/>
          <w:sz w:val="28"/>
          <w:szCs w:val="28"/>
          <w:u w:val="single"/>
          <w:rtl w:val="0"/>
          <w:lang w:val="ru-RU"/>
        </w:rPr>
        <w:t>Evolution of Partial Resistance to Artemisinins in Malaria Parasites in Uganda</w:t>
      </w:r>
      <w:r>
        <w:rPr/>
        <w:fldChar w:fldCharType="end" w:fldLock="0"/>
      </w:r>
      <w:r>
        <w:rPr>
          <w:rStyle w:val="Нет"/>
          <w:rFonts w:ascii="Times New Roman" w:hAnsi="Times New Roman"/>
          <w:sz w:val="28"/>
          <w:szCs w:val="28"/>
          <w:rtl w:val="0"/>
          <w:lang w:val="en-US"/>
        </w:rPr>
        <w:t xml:space="preserve"> </w:t>
      </w:r>
    </w:p>
    <w:p>
      <w:pPr>
        <w:pStyle w:val="Основной текст A"/>
        <w:rPr>
          <w:rStyle w:val="Нет"/>
          <w:rFonts w:ascii="Times New Roman" w:cs="Times New Roman" w:hAnsi="Times New Roman" w:eastAsia="Times New Roman"/>
          <w:sz w:val="28"/>
          <w:szCs w:val="28"/>
        </w:rPr>
      </w:pPr>
    </w:p>
    <w:p>
      <w:pPr>
        <w:pStyle w:val="Основной текст A"/>
        <w:rPr>
          <w:rStyle w:val="Нет"/>
          <w:rFonts w:ascii="Times New Roman" w:cs="Times New Roman" w:hAnsi="Times New Roman" w:eastAsia="Times New Roman"/>
          <w:sz w:val="28"/>
          <w:szCs w:val="28"/>
        </w:rPr>
      </w:pPr>
      <w:r>
        <w:rPr>
          <w:rStyle w:val="Нет"/>
          <w:rFonts w:ascii="Times New Roman" w:hAnsi="Times New Roman"/>
          <w:sz w:val="28"/>
          <w:szCs w:val="28"/>
          <w:rtl w:val="0"/>
          <w:lang w:val="en-US"/>
        </w:rPr>
        <w:t>Results: By 2021</w:t>
      </w:r>
      <w:r>
        <w:rPr>
          <w:rStyle w:val="Нет"/>
          <w:rFonts w:ascii="Times New Roman" w:hAnsi="Times New Roman" w:hint="default"/>
          <w:sz w:val="28"/>
          <w:szCs w:val="28"/>
          <w:rtl w:val="0"/>
          <w:lang w:val="en-US"/>
        </w:rPr>
        <w:t>–</w:t>
      </w:r>
      <w:r>
        <w:rPr>
          <w:rStyle w:val="Нет"/>
          <w:rFonts w:ascii="Times New Roman" w:hAnsi="Times New Roman"/>
          <w:sz w:val="28"/>
          <w:szCs w:val="28"/>
          <w:rtl w:val="0"/>
          <w:lang w:val="en-US"/>
        </w:rPr>
        <w:t>2022, the prevalence of parasites with validated or candidate resistance markers reached more than 20% in 11 of the 16 districts where surveillance was conducted. The PfK13 469Y and 675V mutations were seen in far northern Uganda in 2016</w:t>
      </w:r>
      <w:r>
        <w:rPr>
          <w:rStyle w:val="Нет"/>
          <w:rFonts w:ascii="Times New Roman" w:hAnsi="Times New Roman" w:hint="default"/>
          <w:sz w:val="28"/>
          <w:szCs w:val="28"/>
          <w:rtl w:val="0"/>
          <w:lang w:val="en-US"/>
        </w:rPr>
        <w:t>–</w:t>
      </w:r>
      <w:r>
        <w:rPr>
          <w:rStyle w:val="Нет"/>
          <w:rFonts w:ascii="Times New Roman" w:hAnsi="Times New Roman"/>
          <w:sz w:val="28"/>
          <w:szCs w:val="28"/>
          <w:rtl w:val="0"/>
          <w:lang w:val="en-US"/>
        </w:rPr>
        <w:t>2017 and increased and spread thereafter, reaching a combined prevalence of 10 to 54% across much of northern Uganda, with spread to other regions. The 469F mutation reached a prevalence of 38 to 40% in one district in southwestern Uganda in 2021</w:t>
      </w:r>
      <w:r>
        <w:rPr>
          <w:rStyle w:val="Нет"/>
          <w:rFonts w:ascii="Times New Roman" w:hAnsi="Times New Roman" w:hint="default"/>
          <w:sz w:val="28"/>
          <w:szCs w:val="28"/>
          <w:rtl w:val="0"/>
          <w:lang w:val="en-US"/>
        </w:rPr>
        <w:t>–</w:t>
      </w:r>
      <w:r>
        <w:rPr>
          <w:rStyle w:val="Нет"/>
          <w:rFonts w:ascii="Times New Roman" w:hAnsi="Times New Roman"/>
          <w:sz w:val="28"/>
          <w:szCs w:val="28"/>
          <w:rtl w:val="0"/>
          <w:lang w:val="en-US"/>
        </w:rPr>
        <w:t>2022. The 561H mutation, previously described in Rwanda, was first seen in southwestern Uganda in 2021, reaching a prevalence of 23% by 2022. The 441L mutation reached a prevalence of 12 to 23% in three districts in western Uganda in 2022. Genetic analysis indicated local emergence of mutant parasites independent of those in Southeast Asia. The emergence of resistance was observed predominantly in areas where effective malaria control had been discontinued or transmission was unstable.</w:t>
      </w:r>
    </w:p>
    <w:p>
      <w:pPr>
        <w:pStyle w:val="По умолчанию"/>
        <w:spacing w:before="0" w:line="240" w:lineRule="auto"/>
        <w:rPr>
          <w:rStyle w:val="Нет"/>
          <w:rFonts w:ascii="Times New Roman" w:cs="Times New Roman" w:hAnsi="Times New Roman" w:eastAsia="Times New Roman"/>
          <w:b w:val="1"/>
          <w:bCs w:val="1"/>
          <w:outline w:val="0"/>
          <w:color w:val="3c4043"/>
          <w:sz w:val="28"/>
          <w:szCs w:val="28"/>
          <w:u w:color="3c4043"/>
          <w14:textFill>
            <w14:solidFill>
              <w14:srgbClr w14:val="3C4043"/>
            </w14:solidFill>
          </w14:textFill>
        </w:rPr>
      </w:pPr>
    </w:p>
    <w:p>
      <w:pPr>
        <w:pStyle w:val="По умолчанию"/>
        <w:spacing w:before="0" w:line="240" w:lineRule="auto"/>
        <w:rPr>
          <w:rStyle w:val="Нет"/>
          <w:rFonts w:ascii="Times New Roman" w:cs="Times New Roman" w:hAnsi="Times New Roman" w:eastAsia="Times New Roman"/>
          <w:outline w:val="0"/>
          <w:color w:val="4d4d4d"/>
          <w:sz w:val="28"/>
          <w:szCs w:val="28"/>
          <w:u w:color="4d4d4d"/>
          <w14:textFill>
            <w14:solidFill>
              <w14:srgbClr w14:val="4D4D4D"/>
            </w14:solidFill>
          </w14:textFill>
        </w:rPr>
      </w:pPr>
    </w:p>
    <w:p>
      <w:pPr>
        <w:pStyle w:val="По умолчанию"/>
        <w:spacing w:before="0" w:line="240" w:lineRule="auto"/>
        <w:rPr>
          <w:rStyle w:val="Нет"/>
          <w:rFonts w:ascii="Times New Roman" w:cs="Times New Roman" w:hAnsi="Times New Roman" w:eastAsia="Times New Roman"/>
          <w:outline w:val="0"/>
          <w:color w:val="4d4d4d"/>
          <w:u w:color="4d4d4d"/>
          <w14:textFill>
            <w14:solidFill>
              <w14:srgbClr w14:val="4D4D4D"/>
            </w14:solidFill>
          </w14:textFill>
        </w:rPr>
      </w:pPr>
      <w:r>
        <w:rPr>
          <w:rStyle w:val="Нет"/>
          <w:rFonts w:ascii="Times New Roman" w:hAnsi="Times New Roman" w:hint="default"/>
          <w:b w:val="1"/>
          <w:bCs w:val="1"/>
          <w:outline w:val="0"/>
          <w:color w:val="3c4043"/>
          <w:sz w:val="28"/>
          <w:szCs w:val="28"/>
          <w:u w:color="3c4043"/>
          <w:rtl w:val="0"/>
          <w:lang w:val="ru-RU"/>
          <w14:textFill>
            <w14:solidFill>
              <w14:srgbClr w14:val="3C4043"/>
            </w14:solidFill>
          </w14:textFill>
        </w:rPr>
        <w:t xml:space="preserve">Плотность заболеваемости </w:t>
      </w:r>
      <w:r>
        <w:rPr>
          <w:rStyle w:val="Нет"/>
          <w:rFonts w:ascii="Times New Roman" w:hAnsi="Times New Roman"/>
          <w:b w:val="1"/>
          <w:bCs w:val="1"/>
          <w:outline w:val="0"/>
          <w:color w:val="3c4043"/>
          <w:sz w:val="28"/>
          <w:szCs w:val="28"/>
          <w:u w:color="3c4043"/>
          <w:rtl w:val="0"/>
          <w:lang w:val="en-US"/>
          <w14:textFill>
            <w14:solidFill>
              <w14:srgbClr w14:val="3C4043"/>
            </w14:solidFill>
          </w14:textFill>
        </w:rPr>
        <w:t>(incidence rate)</w:t>
      </w:r>
      <w:r>
        <w:rPr>
          <w:rStyle w:val="Нет"/>
          <w:rFonts w:ascii="Times New Roman" w:hAnsi="Times New Roman"/>
          <w:b w:val="1"/>
          <w:bCs w:val="1"/>
          <w:outline w:val="0"/>
          <w:color w:val="3c4043"/>
          <w:sz w:val="28"/>
          <w:szCs w:val="28"/>
          <w:u w:color="3c4043"/>
          <w:rtl w:val="0"/>
          <w:lang w:val="ru-RU"/>
          <w14:textFill>
            <w14:solidFill>
              <w14:srgbClr w14:val="3C4043"/>
            </w14:solidFill>
          </w14:textFill>
        </w:rPr>
        <w:t>:</w:t>
      </w:r>
    </w:p>
    <w:p>
      <w:pPr>
        <w:pStyle w:val="По умолчанию"/>
        <w:spacing w:before="0" w:line="240" w:lineRule="auto"/>
        <w:rPr>
          <w:rStyle w:val="Нет"/>
          <w:rFonts w:ascii="Times New Roman" w:cs="Times New Roman" w:hAnsi="Times New Roman" w:eastAsia="Times New Roman"/>
          <w:outline w:val="0"/>
          <w:color w:val="3c4043"/>
          <w:sz w:val="28"/>
          <w:szCs w:val="28"/>
          <w:u w:color="3c4043"/>
          <w14:textFill>
            <w14:solidFill>
              <w14:srgbClr w14:val="3C4043"/>
            </w14:solidFill>
          </w14:textFill>
        </w:rPr>
      </w:pPr>
      <w:r>
        <w:rPr>
          <w:rStyle w:val="Hyperlink.1"/>
        </w:rPr>
        <w:fldChar w:fldCharType="begin" w:fldLock="0"/>
      </w:r>
      <w:r>
        <w:rPr>
          <w:rStyle w:val="Hyperlink.1"/>
        </w:rPr>
        <w:instrText xml:space="preserve"> HYPERLINK "https://www.nejm.org/doi/full/10.1056/NEJMoa2209449"</w:instrText>
      </w:r>
      <w:r>
        <w:rPr>
          <w:rStyle w:val="Hyperlink.1"/>
        </w:rPr>
        <w:fldChar w:fldCharType="separate" w:fldLock="0"/>
      </w:r>
      <w:r>
        <w:rPr>
          <w:rStyle w:val="Hyperlink.1"/>
          <w:rtl w:val="0"/>
          <w:lang w:val="ru-RU"/>
        </w:rPr>
        <w:t>Burden of Typhoid and Paratyphoid Fever in India</w:t>
      </w:r>
      <w:r>
        <w:rPr/>
        <w:fldChar w:fldCharType="end" w:fldLock="0"/>
      </w:r>
    </w:p>
    <w:p>
      <w:pPr>
        <w:pStyle w:val="По умолчанию"/>
        <w:spacing w:before="0" w:line="240" w:lineRule="auto"/>
        <w:rPr>
          <w:rStyle w:val="Нет"/>
          <w:rFonts w:ascii="Times New Roman" w:cs="Times New Roman" w:hAnsi="Times New Roman" w:eastAsia="Times New Roman"/>
          <w:outline w:val="0"/>
          <w:color w:val="4d4d4d"/>
          <w:sz w:val="28"/>
          <w:szCs w:val="28"/>
          <w:u w:color="4d4d4d"/>
          <w:lang w:val="en-US"/>
          <w14:textFill>
            <w14:solidFill>
              <w14:srgbClr w14:val="4D4D4D"/>
            </w14:solidFill>
          </w14:textFill>
        </w:rPr>
      </w:pPr>
      <w:r>
        <w:rPr>
          <w:rStyle w:val="Нет"/>
          <w:rFonts w:ascii="Times New Roman" w:hAnsi="Times New Roman"/>
          <w:outline w:val="0"/>
          <w:color w:val="4d4d4d"/>
          <w:sz w:val="28"/>
          <w:szCs w:val="28"/>
          <w:u w:color="4d4d4d"/>
          <w:rtl w:val="0"/>
          <w:lang w:val="en-US"/>
          <w14:textFill>
            <w14:solidFill>
              <w14:srgbClr w14:val="4D4D4D"/>
            </w14:solidFill>
          </w14:textFill>
        </w:rPr>
        <w:t>Results: A total of 24,062 children who were enrolled in four cohorts contributed 46,959 child-years of observation. Among these children, 299 culture-confirmed typhoid cases were recorded, with an incidence per 100,000 child-years of 576 to 1173 cases in urban sites and 35 in rural Pune. The estimated incidence of typhoid fever from hospital surveillance ranged from 12 to 1622 cases per 100,000 child-years among children between the ages of 6 months and 14 years and from 108 to 970 cases per 100,000 person-years among those who were 15 years of age or older. Salmonella enterica serovar Paratyphi was isolated from 33 children, for an overall incidence of 68 cases per 100,000 child-years after adjustment for age.</w:t>
      </w:r>
    </w:p>
    <w:p>
      <w:pPr>
        <w:pStyle w:val="По умолчанию"/>
        <w:spacing w:before="0" w:line="240" w:lineRule="auto"/>
        <w:rPr>
          <w:rStyle w:val="Нет"/>
          <w:rFonts w:ascii="Times New Roman" w:cs="Times New Roman" w:hAnsi="Times New Roman" w:eastAsia="Times New Roman"/>
          <w:outline w:val="0"/>
          <w:color w:val="4d4d4d"/>
          <w:sz w:val="28"/>
          <w:szCs w:val="28"/>
          <w:u w:color="4d4d4d"/>
          <w14:textFill>
            <w14:solidFill>
              <w14:srgbClr w14:val="4D4D4D"/>
            </w14:solidFill>
          </w14:textFill>
        </w:rPr>
      </w:pPr>
    </w:p>
    <w:p>
      <w:pPr>
        <w:pStyle w:val="По умолчанию"/>
        <w:spacing w:before="0" w:line="240" w:lineRule="auto"/>
        <w:rPr>
          <w:rStyle w:val="Нет"/>
          <w:rFonts w:ascii="Times New Roman" w:cs="Times New Roman" w:hAnsi="Times New Roman" w:eastAsia="Times New Roman"/>
          <w:outline w:val="0"/>
          <w:color w:val="3c4043"/>
          <w:sz w:val="28"/>
          <w:szCs w:val="28"/>
          <w:u w:color="3c4043"/>
          <w14:textFill>
            <w14:solidFill>
              <w14:srgbClr w14:val="3C4043"/>
            </w14:solidFill>
          </w14:textFill>
        </w:rPr>
      </w:pPr>
    </w:p>
    <w:p>
      <w:pPr>
        <w:pStyle w:val="По умолчанию"/>
        <w:spacing w:before="0" w:line="240" w:lineRule="auto"/>
        <w:rPr>
          <w:rStyle w:val="Нет"/>
          <w:rFonts w:ascii="Times New Roman" w:cs="Times New Roman" w:hAnsi="Times New Roman" w:eastAsia="Times New Roman"/>
          <w:b w:val="1"/>
          <w:bCs w:val="1"/>
          <w:outline w:val="0"/>
          <w:color w:val="3c4043"/>
          <w:sz w:val="28"/>
          <w:szCs w:val="28"/>
          <w:u w:color="3c4043"/>
          <w14:textFill>
            <w14:solidFill>
              <w14:srgbClr w14:val="3C4043"/>
            </w14:solidFill>
          </w14:textFill>
        </w:rPr>
      </w:pPr>
      <w:r>
        <w:rPr>
          <w:rStyle w:val="Нет"/>
          <w:rFonts w:ascii="Times New Roman" w:hAnsi="Times New Roman" w:hint="default"/>
          <w:b w:val="1"/>
          <w:bCs w:val="1"/>
          <w:outline w:val="0"/>
          <w:color w:val="3c4043"/>
          <w:sz w:val="28"/>
          <w:szCs w:val="28"/>
          <w:u w:color="3c4043"/>
          <w:rtl w:val="0"/>
          <w:lang w:val="ru-RU"/>
          <w14:textFill>
            <w14:solidFill>
              <w14:srgbClr w14:val="3C4043"/>
            </w14:solidFill>
          </w14:textFill>
        </w:rPr>
        <w:t xml:space="preserve">Процентная заболеваемость </w:t>
      </w:r>
      <w:r>
        <w:rPr>
          <w:rStyle w:val="Нет"/>
          <w:rFonts w:ascii="Times New Roman" w:hAnsi="Times New Roman"/>
          <w:b w:val="1"/>
          <w:bCs w:val="1"/>
          <w:outline w:val="0"/>
          <w:color w:val="3c4043"/>
          <w:sz w:val="28"/>
          <w:szCs w:val="28"/>
          <w:u w:color="3c4043"/>
          <w:rtl w:val="0"/>
          <w:lang w:val="fr-FR"/>
          <w14:textFill>
            <w14:solidFill>
              <w14:srgbClr w14:val="3C4043"/>
            </w14:solidFill>
          </w14:textFill>
        </w:rPr>
        <w:t>(incidence proportion)</w:t>
      </w:r>
      <w:r>
        <w:rPr>
          <w:rStyle w:val="Нет"/>
          <w:rFonts w:ascii="Times New Roman" w:hAnsi="Times New Roman"/>
          <w:b w:val="1"/>
          <w:bCs w:val="1"/>
          <w:outline w:val="0"/>
          <w:color w:val="3c4043"/>
          <w:sz w:val="28"/>
          <w:szCs w:val="28"/>
          <w:u w:color="3c4043"/>
          <w:rtl w:val="0"/>
          <w:lang w:val="en-US"/>
          <w14:textFill>
            <w14:solidFill>
              <w14:srgbClr w14:val="3C4043"/>
            </w14:solidFill>
          </w14:textFill>
        </w:rPr>
        <w:t>:</w:t>
      </w:r>
    </w:p>
    <w:p>
      <w:pPr>
        <w:pStyle w:val="По умолчанию"/>
        <w:spacing w:before="0" w:line="240" w:lineRule="auto"/>
        <w:rPr>
          <w:rStyle w:val="Нет"/>
          <w:rFonts w:ascii="Times New Roman" w:cs="Times New Roman" w:hAnsi="Times New Roman" w:eastAsia="Times New Roman"/>
          <w:outline w:val="0"/>
          <w:color w:val="4d4d4d"/>
          <w:sz w:val="28"/>
          <w:szCs w:val="28"/>
          <w:u w:color="4d4d4d"/>
          <w14:textFill>
            <w14:solidFill>
              <w14:srgbClr w14:val="4D4D4D"/>
            </w14:solidFill>
          </w14:textFill>
        </w:rPr>
      </w:pPr>
    </w:p>
    <w:p>
      <w:pPr>
        <w:pStyle w:val="По умолчанию"/>
        <w:spacing w:before="0" w:line="240" w:lineRule="auto"/>
        <w:rPr>
          <w:rStyle w:val="Нет"/>
          <w:rFonts w:ascii="Times New Roman" w:cs="Times New Roman" w:hAnsi="Times New Roman" w:eastAsia="Times New Roman"/>
          <w:outline w:val="0"/>
          <w:color w:val="3c4043"/>
          <w:sz w:val="28"/>
          <w:szCs w:val="28"/>
          <w:u w:color="3c4043"/>
          <w14:textFill>
            <w14:solidFill>
              <w14:srgbClr w14:val="3C4043"/>
            </w14:solidFill>
          </w14:textFill>
        </w:rPr>
      </w:pPr>
      <w:r>
        <w:rPr>
          <w:rStyle w:val="Hyperlink.1"/>
        </w:rPr>
        <w:fldChar w:fldCharType="begin" w:fldLock="0"/>
      </w:r>
      <w:r>
        <w:rPr>
          <w:rStyle w:val="Hyperlink.1"/>
        </w:rPr>
        <w:instrText xml:space="preserve"> HYPERLINK "https://www.nejm.org/doi/full/10.1056/NEJMoa2210834"</w:instrText>
      </w:r>
      <w:r>
        <w:rPr>
          <w:rStyle w:val="Hyperlink.1"/>
        </w:rPr>
        <w:fldChar w:fldCharType="separate" w:fldLock="0"/>
      </w:r>
      <w:r>
        <w:rPr>
          <w:rStyle w:val="Hyperlink.1"/>
          <w:rtl w:val="0"/>
          <w:lang w:val="ru-RU"/>
        </w:rPr>
        <w:t>Trial of Hybrid Closed-Loop Control in Young Children with Type 1 Diabetes</w:t>
      </w:r>
      <w:r>
        <w:rPr/>
        <w:fldChar w:fldCharType="end" w:fldLock="0"/>
      </w:r>
    </w:p>
    <w:p>
      <w:pPr>
        <w:pStyle w:val="По умолчанию"/>
        <w:spacing w:before="0" w:line="240" w:lineRule="auto"/>
        <w:rPr>
          <w:rStyle w:val="Нет"/>
          <w:rFonts w:ascii="Times New Roman" w:cs="Times New Roman" w:hAnsi="Times New Roman" w:eastAsia="Times New Roman"/>
          <w:outline w:val="0"/>
          <w:color w:val="4d4d4d"/>
          <w:sz w:val="28"/>
          <w:szCs w:val="28"/>
          <w:u w:color="4d4d4d"/>
          <w14:textFill>
            <w14:solidFill>
              <w14:srgbClr w14:val="4D4D4D"/>
            </w14:solidFill>
          </w14:textFill>
        </w:rPr>
      </w:pPr>
      <w:r>
        <w:rPr>
          <w:rStyle w:val="Нет"/>
          <w:rFonts w:ascii="Times New Roman" w:hAnsi="Times New Roman"/>
          <w:outline w:val="0"/>
          <w:color w:val="4d4d4d"/>
          <w:sz w:val="28"/>
          <w:szCs w:val="28"/>
          <w:u w:color="4d4d4d"/>
          <w:rtl w:val="0"/>
          <w:lang w:val="en-US"/>
          <w14:textFill>
            <w14:solidFill>
              <w14:srgbClr w14:val="4D4D4D"/>
            </w14:solidFill>
          </w14:textFill>
        </w:rPr>
        <w:t>Results:A total of 102 children underwent randomization (68 to the closed-loop group and 34 to the standard-care group); the glycated hemoglobin levels at baseline ranged from 5.2 to 11.5%. Initiation of the closed-loop system was virtual in 55 patients (81%). The mean (</w:t>
      </w:r>
      <w:r>
        <w:rPr>
          <w:rStyle w:val="Нет"/>
          <w:rFonts w:ascii="Arial Unicode MS" w:hAnsi="Arial Unicode MS" w:hint="default"/>
          <w:outline w:val="0"/>
          <w:color w:val="4d4d4d"/>
          <w:sz w:val="28"/>
          <w:szCs w:val="28"/>
          <w:u w:color="4d4d4d"/>
          <w:rtl w:val="0"/>
          <w:lang w:val="ru-RU"/>
          <w14:textFill>
            <w14:solidFill>
              <w14:srgbClr w14:val="4D4D4D"/>
            </w14:solidFill>
          </w14:textFill>
        </w:rPr>
        <w:t>±</w:t>
      </w:r>
      <w:r>
        <w:rPr>
          <w:rStyle w:val="Нет"/>
          <w:rFonts w:ascii="Times New Roman" w:hAnsi="Times New Roman"/>
          <w:outline w:val="0"/>
          <w:color w:val="4d4d4d"/>
          <w:sz w:val="28"/>
          <w:szCs w:val="28"/>
          <w:u w:color="4d4d4d"/>
          <w:rtl w:val="0"/>
          <w:lang w:val="en-US"/>
          <w14:textFill>
            <w14:solidFill>
              <w14:srgbClr w14:val="4D4D4D"/>
            </w14:solidFill>
          </w14:textFill>
        </w:rPr>
        <w:t>SD) percentage of time that the glucose level was within the target range increased from 56.7</w:t>
      </w:r>
      <w:r>
        <w:rPr>
          <w:rStyle w:val="Нет"/>
          <w:rFonts w:ascii="Arial Unicode MS" w:hAnsi="Arial Unicode MS" w:hint="default"/>
          <w:outline w:val="0"/>
          <w:color w:val="4d4d4d"/>
          <w:sz w:val="28"/>
          <w:szCs w:val="28"/>
          <w:u w:color="4d4d4d"/>
          <w:rtl w:val="0"/>
          <w:lang w:val="ru-RU"/>
          <w14:textFill>
            <w14:solidFill>
              <w14:srgbClr w14:val="4D4D4D"/>
            </w14:solidFill>
          </w14:textFill>
        </w:rPr>
        <w:t>±</w:t>
      </w:r>
      <w:r>
        <w:rPr>
          <w:rStyle w:val="Нет"/>
          <w:rFonts w:ascii="Times New Roman" w:hAnsi="Times New Roman"/>
          <w:outline w:val="0"/>
          <w:color w:val="4d4d4d"/>
          <w:sz w:val="28"/>
          <w:szCs w:val="28"/>
          <w:u w:color="4d4d4d"/>
          <w:rtl w:val="0"/>
          <w:lang w:val="en-US"/>
          <w14:textFill>
            <w14:solidFill>
              <w14:srgbClr w14:val="4D4D4D"/>
            </w14:solidFill>
          </w14:textFill>
        </w:rPr>
        <w:t>18.0% at baseline to 69.3</w:t>
      </w:r>
      <w:r>
        <w:rPr>
          <w:rStyle w:val="Нет"/>
          <w:rFonts w:ascii="Arial Unicode MS" w:hAnsi="Arial Unicode MS" w:hint="default"/>
          <w:outline w:val="0"/>
          <w:color w:val="4d4d4d"/>
          <w:sz w:val="28"/>
          <w:szCs w:val="28"/>
          <w:u w:color="4d4d4d"/>
          <w:rtl w:val="0"/>
          <w:lang w:val="ru-RU"/>
          <w14:textFill>
            <w14:solidFill>
              <w14:srgbClr w14:val="4D4D4D"/>
            </w14:solidFill>
          </w14:textFill>
        </w:rPr>
        <w:t>±</w:t>
      </w:r>
      <w:r>
        <w:rPr>
          <w:rStyle w:val="Нет"/>
          <w:rFonts w:ascii="Times New Roman" w:hAnsi="Times New Roman"/>
          <w:outline w:val="0"/>
          <w:color w:val="4d4d4d"/>
          <w:sz w:val="28"/>
          <w:szCs w:val="28"/>
          <w:u w:color="4d4d4d"/>
          <w:rtl w:val="0"/>
          <w:lang w:val="en-US"/>
          <w14:textFill>
            <w14:solidFill>
              <w14:srgbClr w14:val="4D4D4D"/>
            </w14:solidFill>
          </w14:textFill>
        </w:rPr>
        <w:t>11.1% during the 13-week follow-up period in the closed-loop group and from 54.9</w:t>
      </w:r>
      <w:r>
        <w:rPr>
          <w:rStyle w:val="Нет"/>
          <w:rFonts w:ascii="Arial Unicode MS" w:hAnsi="Arial Unicode MS" w:hint="default"/>
          <w:outline w:val="0"/>
          <w:color w:val="4d4d4d"/>
          <w:sz w:val="28"/>
          <w:szCs w:val="28"/>
          <w:u w:color="4d4d4d"/>
          <w:rtl w:val="0"/>
          <w:lang w:val="ru-RU"/>
          <w14:textFill>
            <w14:solidFill>
              <w14:srgbClr w14:val="4D4D4D"/>
            </w14:solidFill>
          </w14:textFill>
        </w:rPr>
        <w:t>±</w:t>
      </w:r>
      <w:r>
        <w:rPr>
          <w:rStyle w:val="Нет"/>
          <w:rFonts w:ascii="Times New Roman" w:hAnsi="Times New Roman"/>
          <w:outline w:val="0"/>
          <w:color w:val="4d4d4d"/>
          <w:sz w:val="28"/>
          <w:szCs w:val="28"/>
          <w:u w:color="4d4d4d"/>
          <w:rtl w:val="0"/>
          <w:lang w:val="ru-RU"/>
          <w14:textFill>
            <w14:solidFill>
              <w14:srgbClr w14:val="4D4D4D"/>
            </w14:solidFill>
          </w14:textFill>
        </w:rPr>
        <w:t>14.7% to 55.9</w:t>
      </w:r>
      <w:r>
        <w:rPr>
          <w:rStyle w:val="Нет"/>
          <w:rFonts w:ascii="Arial Unicode MS" w:hAnsi="Arial Unicode MS" w:hint="default"/>
          <w:outline w:val="0"/>
          <w:color w:val="4d4d4d"/>
          <w:sz w:val="28"/>
          <w:szCs w:val="28"/>
          <w:u w:color="4d4d4d"/>
          <w:rtl w:val="0"/>
          <w:lang w:val="ru-RU"/>
          <w14:textFill>
            <w14:solidFill>
              <w14:srgbClr w14:val="4D4D4D"/>
            </w14:solidFill>
          </w14:textFill>
        </w:rPr>
        <w:t>±</w:t>
      </w:r>
      <w:r>
        <w:rPr>
          <w:rStyle w:val="Нет"/>
          <w:rFonts w:ascii="Times New Roman" w:hAnsi="Times New Roman"/>
          <w:outline w:val="0"/>
          <w:color w:val="4d4d4d"/>
          <w:sz w:val="28"/>
          <w:szCs w:val="28"/>
          <w:u w:color="4d4d4d"/>
          <w:rtl w:val="0"/>
          <w:lang w:val="en-US"/>
          <w14:textFill>
            <w14:solidFill>
              <w14:srgbClr w14:val="4D4D4D"/>
            </w14:solidFill>
          </w14:textFill>
        </w:rPr>
        <w:t>12.6% in the standard-care group (mean adjusted difference, 12.4 percentage points [equivalent to approximately 3 hours per day]; 95% confidence interval, 9.5 to 15.3; P&lt;0.001). We observed similar treatment effects (favoring the closed-loop system) on the percentage of time that the glucose level was above 250 mg per deciliter, on the mean glucose level, and on the glycated hemoglobin level, with no significant between-group difference in the percentage of time that the glucose level was below 70 mg per deciliter. There were two cases of severe hypoglycemia in the closed-loop group and one case in the standard-care group. One case of diabetic ketoacidosis occurred in the closed-loop group.</w:t>
      </w:r>
    </w:p>
    <w:p>
      <w:pPr>
        <w:pStyle w:val="По умолчанию"/>
        <w:spacing w:before="0" w:line="240" w:lineRule="auto"/>
        <w:rPr>
          <w:rStyle w:val="Нет"/>
          <w:rFonts w:ascii="Times New Roman" w:cs="Times New Roman" w:hAnsi="Times New Roman" w:eastAsia="Times New Roman"/>
          <w:outline w:val="0"/>
          <w:color w:val="3c4043"/>
          <w:sz w:val="28"/>
          <w:szCs w:val="28"/>
          <w:u w:color="3c4043"/>
          <w14:textFill>
            <w14:solidFill>
              <w14:srgbClr w14:val="3C4043"/>
            </w14:solidFill>
          </w14:textFill>
        </w:rPr>
      </w:pPr>
    </w:p>
    <w:p>
      <w:pPr>
        <w:pStyle w:val="По умолчанию"/>
        <w:spacing w:before="0" w:line="240" w:lineRule="auto"/>
        <w:rPr>
          <w:rStyle w:val="Нет"/>
          <w:rFonts w:ascii="Times New Roman" w:cs="Times New Roman" w:hAnsi="Times New Roman" w:eastAsia="Times New Roman"/>
          <w:b w:val="1"/>
          <w:bCs w:val="1"/>
          <w:outline w:val="0"/>
          <w:color w:val="3c4043"/>
          <w:sz w:val="28"/>
          <w:szCs w:val="28"/>
          <w:u w:color="3c4043"/>
          <w14:textFill>
            <w14:solidFill>
              <w14:srgbClr w14:val="3C4043"/>
            </w14:solidFill>
          </w14:textFill>
        </w:rPr>
      </w:pPr>
      <w:r>
        <w:rPr>
          <w:rStyle w:val="Нет"/>
          <w:rFonts w:ascii="Times New Roman" w:hAnsi="Times New Roman" w:hint="default"/>
          <w:b w:val="1"/>
          <w:bCs w:val="1"/>
          <w:outline w:val="0"/>
          <w:color w:val="3c4043"/>
          <w:sz w:val="28"/>
          <w:szCs w:val="28"/>
          <w:u w:color="3c4043"/>
          <w:rtl w:val="0"/>
          <w:lang w:val="ru-RU"/>
          <w14:textFill>
            <w14:solidFill>
              <w14:srgbClr w14:val="3C4043"/>
            </w14:solidFill>
          </w14:textFill>
        </w:rPr>
        <w:t xml:space="preserve">Оценка накопленной вероятности </w:t>
      </w:r>
      <w:r>
        <w:rPr>
          <w:rStyle w:val="Нет"/>
          <w:rFonts w:ascii="Times New Roman" w:hAnsi="Times New Roman"/>
          <w:b w:val="1"/>
          <w:bCs w:val="1"/>
          <w:outline w:val="0"/>
          <w:color w:val="3c4043"/>
          <w:sz w:val="28"/>
          <w:szCs w:val="28"/>
          <w:u w:color="3c4043"/>
          <w:rtl w:val="0"/>
          <w:lang w:val="en-US"/>
          <w14:textFill>
            <w14:solidFill>
              <w14:srgbClr w14:val="3C4043"/>
            </w14:solidFill>
          </w14:textFill>
        </w:rPr>
        <w:t>(cumulative survival probability/mortality probability)</w:t>
      </w:r>
      <w:r>
        <w:rPr>
          <w:rStyle w:val="Нет"/>
          <w:rFonts w:ascii="Times New Roman" w:hAnsi="Times New Roman"/>
          <w:b w:val="1"/>
          <w:bCs w:val="1"/>
          <w:outline w:val="0"/>
          <w:color w:val="3c4043"/>
          <w:sz w:val="28"/>
          <w:szCs w:val="28"/>
          <w:u w:color="3c4043"/>
          <w:rtl w:val="0"/>
          <w:lang w:val="ru-RU"/>
          <w14:textFill>
            <w14:solidFill>
              <w14:srgbClr w14:val="3C4043"/>
            </w14:solidFill>
          </w14:textFill>
        </w:rPr>
        <w:t>:</w:t>
      </w:r>
    </w:p>
    <w:p>
      <w:pPr>
        <w:pStyle w:val="По умолчанию"/>
        <w:spacing w:before="0" w:line="240" w:lineRule="auto"/>
        <w:rPr>
          <w:rStyle w:val="Нет"/>
          <w:rFonts w:ascii="Times New Roman" w:cs="Times New Roman" w:hAnsi="Times New Roman" w:eastAsia="Times New Roman"/>
          <w:outline w:val="0"/>
          <w:color w:val="3c4043"/>
          <w:sz w:val="28"/>
          <w:szCs w:val="28"/>
          <w:u w:color="3c4043"/>
          <w14:textFill>
            <w14:solidFill>
              <w14:srgbClr w14:val="3C4043"/>
            </w14:solidFill>
          </w14:textFill>
        </w:rPr>
      </w:pPr>
    </w:p>
    <w:p>
      <w:pPr>
        <w:pStyle w:val="По умолчанию"/>
        <w:spacing w:before="0" w:line="240" w:lineRule="auto"/>
        <w:rPr>
          <w:rStyle w:val="Нет"/>
          <w:rFonts w:ascii="Times New Roman" w:cs="Times New Roman" w:hAnsi="Times New Roman" w:eastAsia="Times New Roman"/>
          <w:outline w:val="0"/>
          <w:color w:val="3c4043"/>
          <w:sz w:val="28"/>
          <w:szCs w:val="28"/>
          <w:u w:color="3c4043"/>
          <w14:textFill>
            <w14:solidFill>
              <w14:srgbClr w14:val="3C4043"/>
            </w14:solidFill>
          </w14:textFill>
        </w:rPr>
      </w:pPr>
      <w:r>
        <w:rPr>
          <w:rStyle w:val="Hyperlink.1"/>
        </w:rPr>
        <w:fldChar w:fldCharType="begin" w:fldLock="0"/>
      </w:r>
      <w:r>
        <w:rPr>
          <w:rStyle w:val="Hyperlink.1"/>
        </w:rPr>
        <w:instrText xml:space="preserve"> HYPERLINK "https://www.nejm.org/doi/full/10.1056/NEJMoa2002449"</w:instrText>
      </w:r>
      <w:r>
        <w:rPr>
          <w:rStyle w:val="Hyperlink.1"/>
        </w:rPr>
        <w:fldChar w:fldCharType="separate" w:fldLock="0"/>
      </w:r>
      <w:r>
        <w:rPr>
          <w:rStyle w:val="Hyperlink.1"/>
          <w:rtl w:val="0"/>
          <w:lang w:val="ru-RU"/>
        </w:rPr>
        <w:t>Life Expectancy after Bariatric Surgery in the Swedish Obese Subjects Study</w:t>
      </w:r>
      <w:r>
        <w:rPr/>
        <w:fldChar w:fldCharType="end" w:fldLock="0"/>
      </w:r>
    </w:p>
    <w:p>
      <w:pPr>
        <w:pStyle w:val="По умолчанию"/>
        <w:spacing w:before="0" w:line="240" w:lineRule="auto"/>
      </w:pPr>
      <w:r>
        <w:rPr>
          <w:rStyle w:val="Нет"/>
          <w:rFonts w:ascii="Times New Roman" w:hAnsi="Times New Roman"/>
          <w:outline w:val="0"/>
          <w:color w:val="4d4d4d"/>
          <w:sz w:val="28"/>
          <w:szCs w:val="28"/>
          <w:u w:color="4d4d4d"/>
          <w:rtl w:val="0"/>
          <w:lang w:val="en-US"/>
          <w14:textFill>
            <w14:solidFill>
              <w14:srgbClr w14:val="4D4D4D"/>
            </w14:solidFill>
          </w14:textFill>
        </w:rPr>
        <w:t>Results:In total, 2007 and 2040 patients were included in the surgery group and the control group, respectively, and 1135 participants were included in the reference cohort. At the time of the analysis (December 31, 2018), the median duration of follow-up for mortality was 24 years (interquartile range, 22 to 27) in the surgery group and 22 years (interquartile range, 21 to 27) in the control group; data on mortality were available for 99.9% of patients in the study. In the SOS reference cohort, the median duration of follow-up was 20 years (interquartile range, 19 to 21), and data on mortality were available for 100% of participants. In total, 457 patients (22.8%) in the surgery group and 539 patients (26.4%) in the control group died (hazard ratio, 0.77; 95% confidence interval [CI], 0.68 to 0.87; P&lt;0.001). The corresponding hazard ratio was 0.70 (95% CI, 0.57 to 0.85) for death from cardiovascular disease and 0.77 (95% CI, 0.61 to 0.96) for death from cancer. The adjusted median life expectancy in the surgery group was 3.0 years (95% CI, 1.8 to 4.2) longer than in the control group but 5.5 years shorter than in the general population. The 90-day postoperative mortality was 0.2%, and 2.9% of the patients in the surgery group underwent repeat</w:t>
      </w:r>
      <w:r>
        <w:rPr>
          <w:rStyle w:val="Нет"/>
          <w:rFonts w:ascii="Times New Roman" w:cs="Times New Roman" w:hAnsi="Times New Roman" w:eastAsia="Times New Roman"/>
          <w:outline w:val="0"/>
          <w:color w:val="4d4d4d"/>
          <w:sz w:val="28"/>
          <w:szCs w:val="28"/>
          <w:u w:color="4d4d4d"/>
          <w:lang w:val="en-US"/>
          <w14:textFill>
            <w14:solidFill>
              <w14:srgbClr w14:val="4D4D4D"/>
            </w14:solidFill>
          </w14:textFill>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ой текст A">
    <w:name w:val="Основной текст A"/>
    <w:next w:val="Основной текст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Нет">
    <w:name w:val="Нет"/>
  </w:style>
  <w:style w:type="character" w:styleId="Hyperlink.0">
    <w:name w:val="Hyperlink.0"/>
    <w:basedOn w:val="Нет"/>
    <w:next w:val="Hyperlink.0"/>
    <w:rPr>
      <w:rFonts w:ascii="Times New Roman" w:cs="Times New Roman" w:hAnsi="Times New Roman" w:eastAsia="Times New Roman"/>
      <w:sz w:val="28"/>
      <w:szCs w:val="28"/>
      <w:u w:val="single"/>
      <w:lang w:val="ru-RU"/>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w="12700" w14:cap="flat">
        <w14:noFill/>
        <w14:miter w14:lim="400000"/>
      </w14:textOutline>
      <w14:textFill>
        <w14:solidFill>
          <w14:srgbClr w14:val="000000"/>
        </w14:solidFill>
      </w14:textFill>
    </w:rPr>
  </w:style>
  <w:style w:type="character" w:styleId="Hyperlink.1">
    <w:name w:val="Hyperlink.1"/>
    <w:basedOn w:val="Нет"/>
    <w:next w:val="Hyperlink.1"/>
    <w:rPr>
      <w:rFonts w:ascii="Times New Roman" w:cs="Times New Roman" w:hAnsi="Times New Roman" w:eastAsia="Times New Roman"/>
      <w:outline w:val="0"/>
      <w:color w:val="3c4043"/>
      <w:sz w:val="28"/>
      <w:szCs w:val="28"/>
      <w:u w:val="single" w:color="3c4043"/>
      <w14:textFill>
        <w14:solidFill>
          <w14:srgbClr w14:val="3C404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