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PROYECTO CRONOS — METRO DE SANTIAGO</w:t>
      </w:r>
    </w:p>
    <w:p>
      <w:pPr>
        <w:pStyle w:val="Heading2"/>
      </w:pPr>
      <w:r>
        <w:t xml:space="preserve">Informe Ejecutivo: Pivotes del Balanced Scorecard ante tres Cisnes Negros (2019–2024)</w:t>
      </w:r>
    </w:p>
    <w:p>
      <w:r>
        <w:rPr>
          <w:b/>
        </w:rPr>
        <w:t xml:space="preserve">Asignatura:</w:t>
      </w:r>
      <w:r>
        <w:t xml:space="preserve"> Mando de Control &amp; Balanced Scorecard (MC&amp;BSC)</w:t>
      </w:r>
    </w:p>
    <w:p>
      <w:r>
        <w:rPr>
          <w:b/>
        </w:rPr>
        <w:t xml:space="preserve">Profesor:</w:t>
      </w:r>
      <w:r>
        <w:t xml:space="preserve"> Germán Droguett</w:t>
      </w:r>
    </w:p>
    <w:p>
      <w:r>
        <w:rPr>
          <w:b/>
        </w:rPr>
        <w:t xml:space="preserve">Modalidad:</w:t>
      </w:r>
      <w:r>
        <w:t xml:space="preserve"> Comité de Crisis y Estrategia de Metro S.A.</w:t>
      </w:r>
    </w:p>
    <w:p>
      <w:r>
        <w:rPr>
          <w:b/>
        </w:rPr>
        <w:t xml:space="preserve">Entregable:</w:t>
      </w:r>
      <w:r>
        <w:t xml:space="preserve"> Informe ejecutivo (60 puntos) + preparación para defensa "Shark Tank" (40 puntos)</w:t>
      </w:r>
    </w:p>
    <w:p>
      <w:pPr>
        <w:pBdr>
          <w:bottom w:val="single" w:sz="6" w:space="1" w:color="999999"/>
        </w:pBdr>
      </w:pPr>
    </w:p>
    <w:p>
      <w:pPr>
        <w:pStyle w:val="Heading2"/>
      </w:pPr>
      <w:r>
        <w:t xml:space="preserve">Tabla de Contenidos</w:t>
      </w:r>
    </w:p>
    <w:p>
      <w:pPr>
        <w:pStyle w:val="ListParagraph"/>
        <w:numPr>
          <w:ilvl w:val="0"/>
          <w:numId w:val="2"/>
        </w:numPr>
      </w:pPr>
      <w:r>
        <w:t xml:space="preserve">Resumen ejecutivo</w:t>
      </w:r>
    </w:p>
    <w:p>
      <w:pPr>
        <w:pStyle w:val="ListParagraph"/>
        <w:numPr>
          <w:ilvl w:val="0"/>
          <w:numId w:val="2"/>
        </w:numPr>
      </w:pPr>
      <w:r>
        <w:t xml:space="preserve">Nota metodológica y advertencia sobre las cifras</w:t>
      </w:r>
    </w:p>
    <w:p>
      <w:pPr>
        <w:pStyle w:val="ListParagraph"/>
        <w:numPr>
          <w:ilvl w:val="0"/>
          <w:numId w:val="2"/>
        </w:numPr>
      </w:pPr>
      <w:r>
        <w:t xml:space="preserve">Marco conceptual: el "Cuadro de Mando Perfecto" 2018 (línea base)</w:t>
      </w:r>
    </w:p>
    <w:p>
      <w:pPr>
        <w:pStyle w:val="ListParagraph"/>
        <w:numPr>
          <w:ilvl w:val="0"/>
          <w:numId w:val="2"/>
        </w:numPr>
      </w:pPr>
      <w:r>
        <w:rPr>
          <w:b/>
        </w:rPr>
        <w:t xml:space="preserve">Escenario A — Crisis de Infraestructura (Octubre 2019)</w:t>
      </w:r>
    </w:p>
    <w:p>
      <w:pPr>
        <w:pStyle w:val="ListParagraph"/>
        <w:numPr>
          <w:ilvl w:val="0"/>
          <w:numId w:val="2"/>
        </w:numPr>
      </w:pPr>
      <w:r>
        <w:rPr>
          <w:b/>
        </w:rPr>
        <w:t xml:space="preserve">Escenario B — Colapso de Demanda y Liquidez / COVID-19 (2020–2021)</w:t>
      </w:r>
    </w:p>
    <w:p>
      <w:pPr>
        <w:pStyle w:val="ListParagraph"/>
        <w:numPr>
          <w:ilvl w:val="0"/>
          <w:numId w:val="2"/>
        </w:numPr>
      </w:pPr>
      <w:r>
        <w:rPr>
          <w:b/>
        </w:rPr>
        <w:t xml:space="preserve">Escenario C — Crisis de Seguridad y Evasión Masiva (2023–2024)</w:t>
      </w:r>
    </w:p>
    <w:p>
      <w:pPr>
        <w:pStyle w:val="ListParagraph"/>
        <w:numPr>
          <w:ilvl w:val="0"/>
          <w:numId w:val="2"/>
        </w:numPr>
      </w:pPr>
      <w:r>
        <w:t xml:space="preserve">Cuadro comparativo de los tres pivotes</w:t>
      </w:r>
    </w:p>
    <w:p>
      <w:pPr>
        <w:pStyle w:val="ListParagraph"/>
        <w:numPr>
          <w:ilvl w:val="0"/>
          <w:numId w:val="2"/>
        </w:numPr>
      </w:pPr>
      <w:r>
        <w:t xml:space="preserve">Preparación para la defensa "Shark Tank" (40 puntos)</w:t>
      </w:r>
    </w:p>
    <w:p>
      <w:pPr>
        <w:pStyle w:val="ListParagraph"/>
        <w:numPr>
          <w:ilvl w:val="0"/>
          <w:numId w:val="2"/>
        </w:numPr>
      </w:pPr>
      <w:r>
        <w:t xml:space="preserve">Fuentes y referencias</w:t>
      </w:r>
    </w:p>
    <w:p>
      <w:pPr>
        <w:pBdr>
          <w:bottom w:val="single" w:sz="6" w:space="1" w:color="999999"/>
        </w:pBdr>
      </w:pPr>
    </w:p>
    <w:p>
      <w:pPr>
        <w:pStyle w:val="Heading2"/>
      </w:pPr>
      <w:r>
        <w:t xml:space="preserve">1. Resumen Ejecutivo</w:t>
      </w:r>
    </w:p>
    <w:p>
      <w:r>
        <w:t xml:space="preserve">El Balanced Scorecard (BSC) de Kaplan y Norton no es un tablero estático de indicadores: es un </w:t>
      </w:r>
      <w:r>
        <w:rPr>
          <w:b/>
        </w:rPr>
        <w:t xml:space="preserve">sistema de gestión estratégica</w:t>
      </w:r>
      <w:r>
        <w:t xml:space="preserve"> que traduce la estrategia en objetivos medibles encadenados por relaciones de causa-efecto a través de cuatro perspectivas (Financiera, Cliente, Procesos Internos y Aprendizaje/Crecimiento). Su valor real se demuestra cuando el entorno se rompe.</w:t>
      </w:r>
    </w:p>
    <w:p>
      <w:r>
        <w:t xml:space="preserve">Metro de Santiago (Empresa de Transporte de Pasajeros Metro S.A.) llegó a 2018 con un "Cuadro de Mando Perfecto": EBITDA positivo, expansión de red (Línea 6 en 2017 y Línea 3 en enero de 2019) y continuidad de servicio superior al 99%. Entre 2019 y 2024, tres </w:t>
      </w:r>
      <w:r>
        <w:rPr>
          <w:b/>
        </w:rPr>
        <w:t xml:space="preserve">Cisnes Negros</w:t>
      </w:r>
      <w:r>
        <w:t xml:space="preserve"> consecutivos —en el sentido de Nassim Taleb: eventos improbables, de alto impacto y racionalizados sólo a posteriori— obligaron a Metro a abandonar la estrategia de crecimiento y a </w:t>
      </w:r>
      <w:r>
        <w:rPr>
          <w:b/>
        </w:rPr>
        <w:t xml:space="preserve">pivotar el BSC hacia la supervivencia y la recuperación</w:t>
      </w:r>
      <w:r>
        <w:t xml:space="preserve">:</w:t>
      </w:r>
    </w:p>
    <w:p>
      <w:pPr>
        <w:pStyle w:val="ListParagraph"/>
        <w:numPr>
          <w:ilvl w:val="0"/>
          <w:numId w:val="1"/>
        </w:numPr>
      </w:pPr>
      <w:r>
        <w:rPr>
          <w:b/>
        </w:rPr>
        <w:t xml:space="preserve">Escenario A (Octubre 2019):</w:t>
      </w:r>
      <w:r>
        <w:t xml:space="preserve"> El estallido social destruye y daña cerca de 80 estaciones. El objetivo de "Crecimiento de Red" desaparece; el foco pasa a la </w:t>
      </w:r>
      <w:r>
        <w:rPr>
          <w:b/>
        </w:rPr>
        <w:t xml:space="preserve">reconstrucción ágil sin quiebra financiera</w:t>
      </w:r>
      <w:r>
        <w:t xml:space="preserve">.</w:t>
      </w:r>
    </w:p>
    <w:p>
      <w:pPr>
        <w:pStyle w:val="ListParagraph"/>
        <w:numPr>
          <w:ilvl w:val="0"/>
          <w:numId w:val="1"/>
        </w:numPr>
      </w:pPr>
      <w:r>
        <w:rPr>
          <w:b/>
        </w:rPr>
        <w:t xml:space="preserve">Escenario B (2020–2021):</w:t>
      </w:r>
      <w:r>
        <w:t xml:space="preserve"> El COVID-19 hace caer la afluencia a la mitad o menos. Metro opera trenes vacíos con altos costos fijos. El objetivo "EBITDA positivo" muere; el foco es la </w:t>
      </w:r>
      <w:r>
        <w:rPr>
          <w:b/>
        </w:rPr>
        <w:t xml:space="preserve">supervivencia de caja y la eficiencia operativa extrema</w:t>
      </w:r>
      <w:r>
        <w:t xml:space="preserve">.</w:t>
      </w:r>
    </w:p>
    <w:p>
      <w:pPr>
        <w:pStyle w:val="ListParagraph"/>
        <w:numPr>
          <w:ilvl w:val="0"/>
          <w:numId w:val="1"/>
        </w:numPr>
      </w:pPr>
      <w:r>
        <w:rPr>
          <w:b/>
        </w:rPr>
        <w:t xml:space="preserve">Escenario C (2023–2024):</w:t>
      </w:r>
      <w:r>
        <w:t xml:space="preserve"> Los pasajeros vuelven, pero la evasión y el comercio ambulante deterioran ingresos y experiencia. El foco es </w:t>
      </w:r>
      <w:r>
        <w:rPr>
          <w:b/>
        </w:rPr>
        <w:t xml:space="preserve">recuperar el control territorial, la seguridad y frenar la fuga de ingresos</w:t>
      </w:r>
      <w:r>
        <w:t xml:space="preserve">.</w:t>
      </w:r>
    </w:p>
    <w:p>
      <w:r>
        <w:t xml:space="preserve">Este informe desarrolla, para </w:t>
      </w:r>
      <w:r>
        <w:rPr>
          <w:b/>
        </w:rPr>
        <w:t xml:space="preserve">cada uno de los tres escenarios</w:t>
      </w:r>
      <w:r>
        <w:t xml:space="preserve">, las cinco secciones exigidas: (1) Auditoría Histórica, (2) Pivot Estratégico, (3) Definición de Métricas, (4) Ficha de Control Crítica y (5) Iniciativa Ágil. Cierra con el material de defensa para el "Shark Tank".</w:t>
      </w:r>
    </w:p>
    <w:p>
      <w:pPr>
        <w:pBdr>
          <w:bottom w:val="single" w:sz="6" w:space="1" w:color="999999"/>
        </w:pBdr>
      </w:pPr>
    </w:p>
    <w:p>
      <w:pPr>
        <w:pStyle w:val="Heading2"/>
      </w:pPr>
      <w:r>
        <w:t xml:space="preserve">2. Nota Metodológica y Advertencia sobre las Cifras</w:t>
      </w:r>
    </w:p>
    <w:p>
      <w:pPr>
        <w:pStyle w:val="Quote"/>
      </w:pPr>
      <w:r>
        <w:rPr>
          <w:b/>
        </w:rPr>
        <w:t xml:space="preserve">Lean esto antes de presentar.</w:t>
      </w:r>
      <w:r>
        <w:t xml:space="preserve"> La pauta advierte: *"Si citan números falsos o no cruzan con los EERR reales, el puntaje de esta sección es cero."* Por eso distinguimos con honestidad tres tipos de dato:</w:t>
      </w:r>
    </w:p>
    <w:p>
      <w:pPr>
        <w:pStyle w:val="ListParagraph"/>
        <w:numPr>
          <w:ilvl w:val="0"/>
          <w:numId w:val="2"/>
        </w:numPr>
      </w:pPr>
      <w:r>
        <w:rPr>
          <w:b/>
        </w:rPr>
        <w:t xml:space="preserve">Dato verificado con fuente pública</w:t>
      </w:r>
      <w:r>
        <w:t xml:space="preserve"> (prensa especializada, organismos, enciclopedias). Va citado en el texto y en la sección 9.</w:t>
      </w:r>
    </w:p>
    <w:p>
      <w:pPr>
        <w:pStyle w:val="ListParagraph"/>
        <w:numPr>
          <w:ilvl w:val="0"/>
          <w:numId w:val="2"/>
        </w:numPr>
      </w:pPr>
      <w:r>
        <w:rPr>
          <w:b/>
        </w:rPr>
        <w:t xml:space="preserve">Dato oficial de Estados Financieros (EERR) que debe confirmarse en la fuente primaria.</w:t>
      </w:r>
      <w:r>
        <w:t xml:space="preserve"> Los EERR auditados de Metro S.A. están publicados, por mandato del art. 76 de la Ley N° 18.046 y la NCG N° 332 de la CMF, en:</w:t>
      </w:r>
    </w:p>
    <w:p>
      <w:pPr>
        <w:pStyle w:val="ListParagraph"/>
        <w:numPr>
          <w:ilvl w:val="1"/>
          <w:numId w:val="1"/>
        </w:numPr>
      </w:pPr>
      <w:r>
        <w:rPr>
          <w:b/>
        </w:rPr>
        <w:t xml:space="preserve">Metro S.A. → Gobierno Corporativo → Informe Financiero Anual:</w:t>
      </w:r>
      <w:r>
        <w:t xml:space="preserve"> https://metro.cl/gobierno-corporativo/informe-financiero-anual</w:t>
      </w:r>
    </w:p>
    <w:p>
      <w:pPr>
        <w:pStyle w:val="ListParagraph"/>
        <w:numPr>
          <w:ilvl w:val="1"/>
          <w:numId w:val="1"/>
        </w:numPr>
      </w:pPr>
      <w:r>
        <w:rPr>
          <w:b/>
        </w:rPr>
        <w:t xml:space="preserve">Comisión para el Mercado Financiero (CMF):</w:t>
      </w:r>
      <w:r>
        <w:t xml:space="preserve"> https://www.cmfchile.cl (buscar "Empresa de Transporte de Pasajeros Metro S.A.").</w:t>
      </w:r>
    </w:p>
    <w:p>
      <w:pPr>
        <w:pStyle w:val="ListParagraph"/>
        <w:numPr>
          <w:ilvl w:val="0"/>
          <w:numId w:val="2"/>
        </w:numPr>
      </w:pPr>
      <w:r>
        <w:rPr>
          <w:b/>
        </w:rPr>
        <w:t xml:space="preserve">Estimación / cifra referencial de orden de magnitud</w:t>
      </w:r>
      <w:r>
        <w:t xml:space="preserve">, claramente marcada como </w:t>
      </w:r>
      <w:r>
        <w:rPr>
          <w:rFonts w:ascii="Consolas" w:hAnsi="Consolas"/>
        </w:rPr>
        <w:t xml:space="preserve">[VERIFICAR EN EERR]</w:t>
      </w:r>
      <w:r>
        <w:t xml:space="preserve">. Se entrega para que el grupo </w:t>
      </w:r>
      <w:r>
        <w:rPr>
          <w:b/>
        </w:rPr>
        <w:t xml:space="preserve">reemplace el valor exacto</w:t>
      </w:r>
      <w:r>
        <w:t xml:space="preserve"> descargando el Estado de Resultados del año correspondiente. La metodología de cálculo (qué línea del EERR usar y cómo) sí está completamente definida, de modo que sólo deben pegar la cifra final.</w:t>
      </w:r>
    </w:p>
    <w:p>
      <w:r>
        <w:rPr>
          <w:b/>
        </w:rPr>
        <w:t xml:space="preserve">Cómo cruzar los números con los EERR (instrucción operativa):</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500"/>
        <w:gridCol w:w="4500"/>
      </w:tblGrid>
      <w:tr>
        <w:tc>
          <w:tcPr>
            <w:tcW w:w="0" w:type="auto"/>
            <w:shd w:val="clear" w:color="auto" w:fill="1F3864"/>
          </w:tcPr>
          <w:p>
            <w:pPr>
              <w:spacing w:after="20"/>
            </w:pPr>
            <w:r>
              <w:rPr>
                <w:b/>
                <w:color w:val="FFFFFF"/>
              </w:rPr>
              <w:t xml:space="preserve">Concepto del informe</w:t>
            </w:r>
          </w:p>
        </w:tc>
        <w:tc>
          <w:tcPr>
            <w:tcW w:w="0" w:type="auto"/>
            <w:shd w:val="clear" w:color="auto" w:fill="1F3864"/>
          </w:tcPr>
          <w:p>
            <w:pPr>
              <w:spacing w:after="20"/>
            </w:pPr>
            <w:r>
              <w:rPr>
                <w:b/>
                <w:color w:val="FFFFFF"/>
              </w:rPr>
              <w:t xml:space="preserve">Línea exacta del Estado de Resultados (EERR NIIF)</w:t>
            </w:r>
          </w:p>
        </w:tc>
      </w:tr>
      <w:tr>
        <w:tc>
          <w:tcPr>
            <w:tcW w:w="0" w:type="auto"/>
          </w:tcPr>
          <w:p>
            <w:pPr>
              <w:spacing w:after="20"/>
            </w:pPr>
            <w:r>
              <w:t xml:space="preserve">Ingresos por pasajeros</w:t>
            </w:r>
          </w:p>
        </w:tc>
        <w:tc>
          <w:tcPr>
            <w:tcW w:w="0" w:type="auto"/>
          </w:tcPr>
          <w:p>
            <w:pPr>
              <w:spacing w:after="20"/>
            </w:pPr>
            <w:r>
              <w:t xml:space="preserve">"Ingresos de actividades ordinarias" — desglose por transporte de pasajeros (Nota de ingresos)</w:t>
            </w:r>
          </w:p>
        </w:tc>
      </w:tr>
      <w:tr>
        <w:tc>
          <w:tcPr>
            <w:tcW w:w="0" w:type="auto"/>
          </w:tcPr>
          <w:p>
            <w:pPr>
              <w:spacing w:after="20"/>
            </w:pPr>
            <w:r>
              <w:t xml:space="preserve">Ingresos no tarifarios</w:t>
            </w:r>
          </w:p>
        </w:tc>
        <w:tc>
          <w:tcPr>
            <w:tcW w:w="0" w:type="auto"/>
          </w:tcPr>
          <w:p>
            <w:pPr>
              <w:spacing w:after="20"/>
            </w:pPr>
            <w:r>
              <w:t xml:space="preserve">Ingresos por arriendos de locales, publicidad, fibra/telecom, canon</w:t>
            </w:r>
          </w:p>
        </w:tc>
      </w:tr>
      <w:tr>
        <w:tc>
          <w:tcPr>
            <w:tcW w:w="0" w:type="auto"/>
          </w:tcPr>
          <w:p>
            <w:pPr>
              <w:spacing w:after="20"/>
            </w:pPr>
            <w:r>
              <w:t xml:space="preserve">EBITDA (aprox.)</w:t>
            </w:r>
          </w:p>
        </w:tc>
        <w:tc>
          <w:tcPr>
            <w:tcW w:w="0" w:type="auto"/>
          </w:tcPr>
          <w:p>
            <w:pPr>
              <w:spacing w:after="20"/>
            </w:pPr>
            <w:r>
              <w:t xml:space="preserve">Ganancia (pérdida) de actividades operacionales + Depreciación y amortización</w:t>
            </w:r>
          </w:p>
        </w:tc>
      </w:tr>
      <w:tr>
        <w:tc>
          <w:tcPr>
            <w:tcW w:w="0" w:type="auto"/>
          </w:tcPr>
          <w:p>
            <w:pPr>
              <w:spacing w:after="20"/>
            </w:pPr>
            <w:r>
              <w:t xml:space="preserve">Línea final</w:t>
            </w:r>
          </w:p>
        </w:tc>
        <w:tc>
          <w:tcPr>
            <w:tcW w:w="0" w:type="auto"/>
          </w:tcPr>
          <w:p>
            <w:pPr>
              <w:spacing w:after="20"/>
            </w:pPr>
            <w:r>
              <w:t xml:space="preserve">"Ganancia (pérdida)" del ejercicio (atribuible a los propietarios)</w:t>
            </w:r>
          </w:p>
        </w:tc>
      </w:tr>
      <w:tr>
        <w:tc>
          <w:tcPr>
            <w:tcW w:w="0" w:type="auto"/>
          </w:tcPr>
          <w:p>
            <w:pPr>
              <w:spacing w:after="20"/>
            </w:pPr>
            <w:r>
              <w:t xml:space="preserve">Liquidez</w:t>
            </w:r>
          </w:p>
        </w:tc>
        <w:tc>
          <w:tcPr>
            <w:tcW w:w="0" w:type="auto"/>
          </w:tcPr>
          <w:p>
            <w:pPr>
              <w:spacing w:after="20"/>
            </w:pPr>
            <w:r>
              <w:t xml:space="preserve">Estado de Flujos de Efectivo: "Flujos de efectivo netos de actividades de operación" + saldo de "Efectivo y equivalentes al efectivo"</w:t>
            </w:r>
          </w:p>
        </w:tc>
      </w:tr>
    </w:tbl>
    <w:p/>
    <w:p>
      <w:pPr>
        <w:pStyle w:val="Quote"/>
      </w:pPr>
      <w:r>
        <w:rPr>
          <w:b/>
        </w:rPr>
        <w:t xml:space="preserve">Recomendación de defensa:</w:t>
      </w:r>
      <w:r>
        <w:t xml:space="preserve"> lleguen a la presentación con el PDF del EERR de cada año abierto en una pestaña. Si el "Ministerio de Hacienda" pregunta por una cifra, ábranla en vivo. Eso convierte una debilidad (no memorizar el peso exacto) en una fortaleza (saber </w:t>
      </w:r>
      <w:r>
        <w:rPr>
          <w:b/>
        </w:rPr>
        <w:t xml:space="preserve">dónde</w:t>
      </w:r>
      <w:r>
        <w:t xml:space="preserve"> está el dato y </w:t>
      </w:r>
      <w:r>
        <w:rPr>
          <w:b/>
        </w:rPr>
        <w:t xml:space="preserve">cómo</w:t>
      </w:r>
      <w:r>
        <w:t xml:space="preserve"> se construye).</w:t>
      </w:r>
    </w:p>
    <w:p>
      <w:r>
        <w:rPr>
          <w:b/>
        </w:rPr>
        <w:t xml:space="preserve">Propiedad de la empresa (contexto de gobernanza):</w:t>
      </w:r>
      <w:r>
        <w:t xml:space="preserve"> Metro S.A. es una sociedad anónima estatal; su propiedad se reparte entre CORFO (≈62,75%) y el Fisco/Ministerio de Hacienda (≈37,25%). Esto es clave para el rol del "Ministerio de Hacienda" en la defensa: el dueño y el regulador presupuestario son, en la práctica, el Estado.</w:t>
      </w:r>
    </w:p>
    <w:p>
      <w:pPr>
        <w:pBdr>
          <w:bottom w:val="single" w:sz="6" w:space="1" w:color="999999"/>
        </w:pBdr>
      </w:pPr>
    </w:p>
    <w:p>
      <w:pPr>
        <w:pStyle w:val="Heading2"/>
      </w:pPr>
      <w:r>
        <w:t xml:space="preserve">3. Marco Conceptual: El "Cuadro de Mando Perfecto" 2018 (Línea Base)</w:t>
      </w:r>
    </w:p>
    <w:p>
      <w:r>
        <w:t xml:space="preserve">Antes de pivotar hay que saber </w:t>
      </w:r>
      <w:r>
        <w:rPr>
          <w:b/>
        </w:rPr>
        <w:t xml:space="preserve">desde dónde</w:t>
      </w:r>
      <w:r>
        <w:t xml:space="preserve"> se pivota. El BSC de Metro en su época dorada (cierre 2018 – inicio 2019) puede describirse así:</w:t>
      </w:r>
    </w:p>
    <w:p>
      <w:r>
        <w:rPr>
          <w:b/>
        </w:rPr>
        <w:t xml:space="preserve">Mapa estratégico "de crecimiento" (2018), leído de abajo hacia arriba (bottom-up):</w:t>
      </w:r>
    </w:p>
    <w:p>
      <w:pPr>
        <w:pStyle w:val="ListParagraph"/>
        <w:numPr>
          <w:ilvl w:val="0"/>
          <w:numId w:val="1"/>
        </w:numPr>
      </w:pPr>
      <w:r>
        <w:rPr>
          <w:b/>
        </w:rPr>
        <w:t xml:space="preserve">Aprendizaje y Crecimiento (base):</w:t>
      </w:r>
      <w:r>
        <w:t xml:space="preserve"> dotación técnica especializada en operación ferroviaria; cultura de excelencia operacional; capacidad de gestión de megaproyectos (ingeniería de extensiones).</w:t>
      </w:r>
    </w:p>
    <w:p>
      <w:pPr>
        <w:pStyle w:val="ListParagraph"/>
        <w:numPr>
          <w:ilvl w:val="0"/>
          <w:numId w:val="1"/>
        </w:numPr>
      </w:pPr>
      <w:r>
        <w:rPr>
          <w:b/>
        </w:rPr>
        <w:t xml:space="preserve">Procesos Internos:</w:t>
      </w:r>
      <w:r>
        <w:t xml:space="preserve"> disponibilidad de flota y vías; gestión de construcción de nuevas líneas; mantenimiento preventivo de clase mundial.</w:t>
      </w:r>
    </w:p>
    <w:p>
      <w:pPr>
        <w:pStyle w:val="ListParagraph"/>
        <w:numPr>
          <w:ilvl w:val="0"/>
          <w:numId w:val="1"/>
        </w:numPr>
      </w:pPr>
      <w:r>
        <w:rPr>
          <w:b/>
        </w:rPr>
        <w:t xml:space="preserve">Cliente:</w:t>
      </w:r>
      <w:r>
        <w:t xml:space="preserve"> alta frecuencia, puntualidad y cobertura; percepción de Metro como "orgullo de Santiago"; ~2,5–2,6 millones de viajes diarios.</w:t>
      </w:r>
    </w:p>
    <w:p>
      <w:pPr>
        <w:pStyle w:val="ListParagraph"/>
        <w:numPr>
          <w:ilvl w:val="0"/>
          <w:numId w:val="1"/>
        </w:numPr>
      </w:pPr>
      <w:r>
        <w:rPr>
          <w:b/>
        </w:rPr>
        <w:t xml:space="preserve">Financiera (cúspide):</w:t>
      </w:r>
      <w:r>
        <w:t xml:space="preserve"> EBITDA positivo, ingresos tarifarios + no tarifarios (locales comerciales, publicidad, telecomunicaciones), y capacidad de endeudamiento para financiar la expansión (Líneas 6 y 3).</w:t>
      </w:r>
    </w:p>
    <w:p>
      <w:r>
        <w:rPr>
          <w:b/>
        </w:rPr>
        <w:t xml:space="preserve">Hitos que sostenían el relato (datos verificados):</w:t>
      </w:r>
    </w:p>
    <w:p>
      <w:pPr>
        <w:pStyle w:val="ListParagraph"/>
        <w:numPr>
          <w:ilvl w:val="0"/>
          <w:numId w:val="1"/>
        </w:numPr>
      </w:pPr>
      <w:r>
        <w:rPr>
          <w:b/>
        </w:rPr>
        <w:t xml:space="preserve">Red:</w:t>
      </w:r>
      <w:r>
        <w:t xml:space="preserve"> 7 líneas (1, 2, 3, 4, 4A, 5 y 6), 143 estaciones y ~149 km de vía comercial. *(Wikipedia – Santiago Metro.)*</w:t>
      </w:r>
    </w:p>
    <w:p>
      <w:pPr>
        <w:pStyle w:val="ListParagraph"/>
        <w:numPr>
          <w:ilvl w:val="0"/>
          <w:numId w:val="1"/>
        </w:numPr>
      </w:pPr>
      <w:r>
        <w:rPr>
          <w:b/>
        </w:rPr>
        <w:t xml:space="preserve">Expansión reciente:</w:t>
      </w:r>
      <w:r>
        <w:t xml:space="preserve"> Línea 6 inaugurada en noviembre de 2017; </w:t>
      </w:r>
      <w:r>
        <w:rPr>
          <w:b/>
        </w:rPr>
        <w:t xml:space="preserve">Línea 3 inaugurada el 22 de enero de 2019</w:t>
      </w:r>
      <w:r>
        <w:t xml:space="preserve">, con una inversión del orden de US$1.790 millones. *(Wikipedia / Railway Gazette.)*</w:t>
      </w:r>
    </w:p>
    <w:p>
      <w:pPr>
        <w:pStyle w:val="ListParagraph"/>
        <w:numPr>
          <w:ilvl w:val="0"/>
          <w:numId w:val="1"/>
        </w:numPr>
      </w:pPr>
      <w:r>
        <w:rPr>
          <w:b/>
        </w:rPr>
        <w:t xml:space="preserve">Demanda:</w:t>
      </w:r>
      <w:r>
        <w:t xml:space="preserve"> del orden de </w:t>
      </w:r>
      <w:r>
        <w:rPr>
          <w:b/>
        </w:rPr>
        <w:t xml:space="preserve">2,5–2,6 millones de viajes por día</w:t>
      </w:r>
      <w:r>
        <w:t xml:space="preserve">, equivalente a varios cientos de millones de validaciones al año. *(Wikipedia – Santiago Metro.)*</w:t>
      </w:r>
    </w:p>
    <w:p>
      <w:pPr>
        <w:pStyle w:val="ListParagraph"/>
        <w:numPr>
          <w:ilvl w:val="0"/>
          <w:numId w:val="1"/>
        </w:numPr>
      </w:pPr>
      <w:r>
        <w:rPr>
          <w:b/>
        </w:rPr>
        <w:t xml:space="preserve">Continuidad de servicio:</w:t>
      </w:r>
      <w:r>
        <w:t xml:space="preserve"> histórica sobre 99% (objetivo declarado de disponibilidad de la red).</w:t>
      </w:r>
    </w:p>
    <w:p>
      <w:pPr>
        <w:pStyle w:val="Quote"/>
      </w:pPr>
      <w:r>
        <w:rPr>
          <w:b/>
        </w:rPr>
        <w:t xml:space="preserve">La idea fuerza del trabajo:</w:t>
      </w:r>
      <w:r>
        <w:t xml:space="preserve"> cada Cisne Negro </w:t>
      </w:r>
      <w:r>
        <w:rPr>
          <w:b/>
        </w:rPr>
        <w:t xml:space="preserve">rompe la perspectiva que sostenía la cúspide financiera</w:t>
      </w:r>
      <w:r>
        <w:t xml:space="preserve">. En A se rompen los *Procesos/Activos* (la red física). En B se rompe el *Cliente* (la demanda). En C se rompe el *Cliente + Procesos de control territorial* (evasión y seguridad). Por eso el pivote del BSC es distinto en cada caso, aunque la lógica causa-efecto bottom-up se mantiene.</w:t>
      </w:r>
    </w:p>
    <w:p>
      <w:pPr>
        <w:pBdr>
          <w:bottom w:val="single" w:sz="6" w:space="1" w:color="999999"/>
        </w:pBdr>
      </w:pPr>
    </w:p>
    <w:p>
      <w:pPr>
        <w:pStyle w:val="Heading1"/>
      </w:pPr>
      <w:r>
        <w:t xml:space="preserve">4. ESCENARIO A — Crisis de Infraestructura (Octubre 2019)</w:t>
      </w:r>
    </w:p>
    <w:p>
      <w:pPr>
        <w:pStyle w:val="Quote"/>
      </w:pPr>
      <w:r>
        <w:rPr>
          <w:b/>
        </w:rPr>
        <w:t xml:space="preserve">Contexto.</w:t>
      </w:r>
      <w:r>
        <w:t xml:space="preserve"> El 6 de octubre de 2019 el Gobierno anunció un alza de la tarifa de Metro en hora punta (del orden de +$30, llegando la punta a ≈$830). La consigna estudiantil </w:t>
      </w:r>
      <w:r>
        <w:rPr>
          <w:b/>
        </w:rPr>
        <w:t xml:space="preserve">#EvasiónMasiva</w:t>
      </w:r>
      <w:r>
        <w:t xml:space="preserve"> (saltar torniquetes) escaló a una revuelta. El </w:t>
      </w:r>
      <w:r>
        <w:rPr>
          <w:b/>
        </w:rPr>
        <w:t xml:space="preserve">18 de octubre</w:t>
      </w:r>
      <w:r>
        <w:t xml:space="preserve"> se incendiaron, saquearon y destruyeron estaciones; la red completa debió cerrar. *(Fuentes: Wikipedia "Social Outburst (Chile)"; NPR; Al Jazeera.)* El objetivo estratégico de </w:t>
      </w:r>
      <w:r>
        <w:rPr>
          <w:b/>
        </w:rPr>
        <w:t xml:space="preserve">"Crecimiento de Red" desaparece</w:t>
      </w:r>
      <w:r>
        <w:t xml:space="preserve">: ya no se trata de construir kilómetros nuevos, sino de </w:t>
      </w:r>
      <w:r>
        <w:rPr>
          <w:b/>
        </w:rPr>
        <w:t xml:space="preserve">reconstruir lo destruido sin quebrar la empresa</w:t>
      </w:r>
      <w:r>
        <w:t xml:space="preserve"> mientras los ingresos están paralizados.</w:t>
      </w:r>
    </w:p>
    <w:p>
      <w:pPr>
        <w:pStyle w:val="Heading2"/>
      </w:pPr>
      <w:r>
        <w:t xml:space="preserve">4.1 Auditoría Histórica (4 pts)</w:t>
      </w:r>
    </w:p>
    <w:p>
      <w:r>
        <w:rPr>
          <w:b/>
        </w:rPr>
        <w:t xml:space="preserve">a) Impacto físico (verificado).</w:t>
      </w:r>
      <w:r>
        <w:t xml:space="preserve"> Según el recuento publicado por *International Railway Journal*, el saldo de daños fue: </w:t>
      </w:r>
      <w:r>
        <w:rPr>
          <w:b/>
        </w:rPr>
        <w:t xml:space="preserve">9 estaciones completamente quemadas, 13 parcialmente destruidas por fuego, 41 con daño serio y 17 con daño menor</w:t>
      </w:r>
      <w:r>
        <w:t xml:space="preserve">, además de innumerables torniquetes y máquinas de carga destruidos — del orden de </w:t>
      </w:r>
      <w:r>
        <w:rPr>
          <w:b/>
        </w:rPr>
        <w:t xml:space="preserve">~80 estaciones afectadas</w:t>
      </w:r>
      <w:r>
        <w:t xml:space="preserve"> sobre una red de 136 operativas en ese momento. *(Railway Journal, oct. 2019; NACLA.)*</w:t>
      </w:r>
    </w:p>
    <w:p>
      <w:r>
        <w:rPr>
          <w:b/>
        </w:rPr>
        <w:t xml:space="preserve">b) Costo de reconstrucción (verificado).</w:t>
      </w:r>
      <w:r>
        <w:t xml:space="preserve"> Las reparaciones se estimaron preliminarmente en </w:t>
      </w:r>
      <w:r>
        <w:rPr>
          <w:b/>
        </w:rPr>
        <w:t xml:space="preserve">US$380 millones</w:t>
      </w:r>
      <w:r>
        <w:t xml:space="preserve">, en su mayoría </w:t>
      </w:r>
      <w:r>
        <w:rPr>
          <w:b/>
        </w:rPr>
        <w:t xml:space="preserve">NO cubiertas por seguros</w:t>
      </w:r>
      <w:r>
        <w:t xml:space="preserve">. *(Railway Journal, "Repairs to Santiago metro could cost US$380m".)* NACLA cifró el daño financiero global en </w:t>
      </w:r>
      <w:r>
        <w:rPr>
          <w:b/>
        </w:rPr>
        <w:t xml:space="preserve">más de US$300 millones</w:t>
      </w:r>
      <w:r>
        <w:t xml:space="preserve">. El orden de magnitud (≈US$300–380 millones) es robusto y debe presentarse como rango.</w:t>
      </w:r>
    </w:p>
    <w:p>
      <w:r>
        <w:rPr>
          <w:b/>
        </w:rPr>
        <w:t xml:space="preserve">c) Variación de ingresos por pasajeros (a verificar en EERR 2019).</w:t>
      </w:r>
    </w:p>
    <w:p>
      <w:pPr>
        <w:pStyle w:val="ListParagraph"/>
        <w:numPr>
          <w:ilvl w:val="0"/>
          <w:numId w:val="1"/>
        </w:numPr>
      </w:pPr>
      <w:r>
        <w:t xml:space="preserve">La red estuvo total o parcialmente fuera de servicio durante semanas del 4° trimestre de 2019 (el trimestre de mayor demanda del año). El impacto se concentra en </w:t>
      </w:r>
      <w:r>
        <w:rPr>
          <w:b/>
        </w:rPr>
        <w:t xml:space="preserve">octubre–diciembre 2019</w:t>
      </w:r>
      <w:r>
        <w:t xml:space="preserve">.</w:t>
      </w:r>
    </w:p>
    <w:p>
      <w:pPr>
        <w:pStyle w:val="ListParagraph"/>
        <w:numPr>
          <w:ilvl w:val="0"/>
          <w:numId w:val="1"/>
        </w:numPr>
      </w:pPr>
      <w:r>
        <w:t xml:space="preserve">Efecto esperado en la línea "Ingresos de actividades ordinarias – transporte de pasajeros": </w:t>
      </w:r>
      <w:r>
        <w:rPr>
          <w:b/>
        </w:rPr>
        <w:t xml:space="preserve">caída interanual</w:t>
      </w:r>
      <w:r>
        <w:t xml:space="preserve"> respecto de 2018 por pérdida de validaciones del Q4 + reducción de frecuencias durante la reapertura gradual.</w:t>
      </w:r>
    </w:p>
    <w:p>
      <w:pPr>
        <w:pStyle w:val="ListParagraph"/>
        <w:numPr>
          <w:ilvl w:val="0"/>
          <w:numId w:val="1"/>
        </w:numPr>
      </w:pPr>
      <w:r>
        <w:rPr>
          <w:rFonts w:ascii="Consolas" w:hAnsi="Consolas"/>
        </w:rPr>
        <w:t xml:space="preserve">[VERIFICAR EN EERR]</w:t>
      </w:r>
      <w:r>
        <w:t xml:space="preserve"> Variación de ingresos por pasajeros 2019 vs 2018: </w:t>
      </w:r>
      <w:r>
        <w:rPr>
          <w:b/>
        </w:rPr>
        <w:t xml:space="preserve">registrar el % exacto</w:t>
      </w:r>
      <w:r>
        <w:t xml:space="preserve"> desde el desglose de ingresos de la Memoria 2019 (Estado de Resultados consolidado + nota de ingresos).</w:t>
      </w:r>
    </w:p>
    <w:p>
      <w:r>
        <w:rPr>
          <w:b/>
        </w:rPr>
        <w:t xml:space="preserve">d) Impacto en EBITDA / línea final (a verificar en EERR 2019).</w:t>
      </w:r>
    </w:p>
    <w:p>
      <w:pPr>
        <w:pStyle w:val="ListParagraph"/>
        <w:numPr>
          <w:ilvl w:val="0"/>
          <w:numId w:val="1"/>
        </w:numPr>
      </w:pPr>
      <w:r>
        <w:t xml:space="preserve">La destrucción de activos fijos obliga a reconocer </w:t>
      </w:r>
      <w:r>
        <w:rPr>
          <w:b/>
        </w:rPr>
        <w:t xml:space="preserve">bajas y deterioro de propiedad, planta y equipo (PP&amp;E)</w:t>
      </w:r>
      <w:r>
        <w:t xml:space="preserve">, golpe que NO es de caja pero </w:t>
      </w:r>
      <w:r>
        <w:rPr>
          <w:b/>
        </w:rPr>
        <w:t xml:space="preserve">destruye la línea final</w:t>
      </w:r>
      <w:r>
        <w:t xml:space="preserve"> ("Ganancia/Pérdida del ejercicio").</w:t>
      </w:r>
    </w:p>
    <w:p>
      <w:pPr>
        <w:pStyle w:val="ListParagraph"/>
        <w:numPr>
          <w:ilvl w:val="0"/>
          <w:numId w:val="1"/>
        </w:numPr>
      </w:pPr>
      <w:r>
        <w:t xml:space="preserve">Resultado esperado: </w:t>
      </w:r>
      <w:r>
        <w:rPr>
          <w:b/>
        </w:rPr>
        <w:t xml:space="preserve">deterioro severo del resultado 2019</w:t>
      </w:r>
      <w:r>
        <w:t xml:space="preserve"> respecto del positivo 2018, por la combinación de (i) menores ingresos del Q4, (ii) castigo contable de activos destruidos y (iii) gastos extraordinarios de seguridad y limpieza.</w:t>
      </w:r>
    </w:p>
    <w:p>
      <w:pPr>
        <w:pStyle w:val="ListParagraph"/>
        <w:numPr>
          <w:ilvl w:val="0"/>
          <w:numId w:val="1"/>
        </w:numPr>
      </w:pPr>
      <w:r>
        <w:rPr>
          <w:rFonts w:ascii="Consolas" w:hAnsi="Consolas"/>
        </w:rPr>
        <w:t xml:space="preserve">[VERIFICAR EN EERR]</w:t>
      </w:r>
      <w:r>
        <w:t xml:space="preserve"> EBITDA 2019 y "Ganancia (pérdida)" 2019 vs 2018: </w:t>
      </w:r>
      <w:r>
        <w:rPr>
          <w:b/>
        </w:rPr>
        <w:t xml:space="preserve">registrar cifras exactas</w:t>
      </w:r>
      <w:r>
        <w:t xml:space="preserve"> desde la Memoria 2019 (CMF).</w:t>
      </w:r>
    </w:p>
    <w:p>
      <w:pPr>
        <w:pStyle w:val="Quote"/>
      </w:pPr>
      <w:r>
        <w:rPr>
          <w:b/>
        </w:rPr>
        <w:t xml:space="preserve">Mensaje para el jurado:</w:t>
      </w:r>
      <w:r>
        <w:t xml:space="preserve"> el daño de 2019 tiene dos capas: una de </w:t>
      </w:r>
      <w:r>
        <w:rPr>
          <w:b/>
        </w:rPr>
        <w:t xml:space="preserve">flujo</w:t>
      </w:r>
      <w:r>
        <w:t xml:space="preserve"> (ingresos no percibidos) y otra </w:t>
      </w:r>
      <w:r>
        <w:rPr>
          <w:b/>
        </w:rPr>
        <w:t xml:space="preserve">patrimonial</w:t>
      </w:r>
      <w:r>
        <w:t xml:space="preserve"> (activos quemados). El BSC debe atacar ambas: caja para sobrevivir y reconstrucción para recuperar el activo productivo.</w:t>
      </w:r>
    </w:p>
    <w:p>
      <w:pPr>
        <w:pStyle w:val="Heading2"/>
      </w:pPr>
      <w:r>
        <w:t xml:space="preserve">4.2 El Pivot Estratégico (4 pts)</w:t>
      </w:r>
    </w:p>
    <w:p>
      <w:r>
        <w:rPr>
          <w:b/>
        </w:rPr>
        <w:t xml:space="preserve">Tema estratégico de emergencia: "Reconstruir la red operativa al menor costo de caja posible, recuperando la confianza ciudadana."</w:t>
      </w:r>
    </w:p>
    <w:p>
      <w:r>
        <w:t xml:space="preserve">Mapa estratégico de emergencia (lógica </w:t>
      </w:r>
      <w:r>
        <w:rPr>
          <w:b/>
        </w:rPr>
        <w:t xml:space="preserve">causa-efecto bottom-up</w:t>
      </w:r>
      <w:r>
        <w:t xml:space="preserve">: la base habilita los procesos, que mejoran al cliente, que sostienen lo financiero):</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500"/>
        <w:gridCol w:w="4500"/>
      </w:tblGrid>
      <w:tr>
        <w:tc>
          <w:tcPr>
            <w:tcW w:w="0" w:type="auto"/>
            <w:shd w:val="clear" w:color="auto" w:fill="1F3864"/>
          </w:tcPr>
          <w:p>
            <w:pPr>
              <w:spacing w:after="20"/>
            </w:pPr>
            <w:r>
              <w:rPr>
                <w:b/>
                <w:color w:val="FFFFFF"/>
              </w:rPr>
              <w:t xml:space="preserve">Perspectiva</w:t>
            </w:r>
          </w:p>
        </w:tc>
        <w:tc>
          <w:tcPr>
            <w:tcW w:w="0" w:type="auto"/>
            <w:shd w:val="clear" w:color="auto" w:fill="1F3864"/>
          </w:tcPr>
          <w:p>
            <w:pPr>
              <w:spacing w:after="20"/>
            </w:pPr>
            <w:r>
              <w:rPr>
                <w:b/>
                <w:color w:val="FFFFFF"/>
              </w:rPr>
              <w:t xml:space="preserve">Objetivo estratégico de emergencia (Escenario A)</w:t>
            </w:r>
          </w:p>
        </w:tc>
      </w:tr>
      <w:tr>
        <w:tc>
          <w:tcPr>
            <w:tcW w:w="0" w:type="auto"/>
          </w:tcPr>
          <w:p>
            <w:pPr>
              <w:spacing w:after="20"/>
            </w:pPr>
            <w:r>
              <w:rPr>
                <w:b/>
              </w:rPr>
              <w:t xml:space="preserve">Aprendizaje / Base</w:t>
            </w:r>
          </w:p>
        </w:tc>
        <w:tc>
          <w:tcPr>
            <w:tcW w:w="0" w:type="auto"/>
          </w:tcPr>
          <w:p>
            <w:pPr>
              <w:spacing w:after="20"/>
            </w:pPr>
            <w:r>
              <w:rPr>
                <w:b/>
              </w:rPr>
              <w:t xml:space="preserve">Movilizar capacidad interna de ingeniería y cuadrillas para autogestionar la reconstrucción</w:t>
            </w:r>
            <w:r>
              <w:t xml:space="preserve"> (no depender 100% de terceros), reteniendo el talento técnico crítico.</w:t>
            </w:r>
          </w:p>
        </w:tc>
      </w:tr>
      <w:tr>
        <w:tc>
          <w:tcPr>
            <w:tcW w:w="0" w:type="auto"/>
          </w:tcPr>
          <w:p>
            <w:pPr>
              <w:spacing w:after="20"/>
            </w:pPr>
            <w:r>
              <w:rPr>
                <w:b/>
              </w:rPr>
              <w:t xml:space="preserve">Procesos Internos</w:t>
            </w:r>
          </w:p>
        </w:tc>
        <w:tc>
          <w:tcPr>
            <w:tcW w:w="0" w:type="auto"/>
          </w:tcPr>
          <w:p>
            <w:pPr>
              <w:spacing w:after="20"/>
            </w:pPr>
            <w:r>
              <w:rPr>
                <w:b/>
              </w:rPr>
              <w:t xml:space="preserve">Reabrir estaciones de forma segura y acelerada</w:t>
            </w:r>
            <w:r>
              <w:t xml:space="preserve"> mediante un programa de reconstrucción modular y priorizada por demanda.</w:t>
            </w:r>
          </w:p>
        </w:tc>
      </w:tr>
      <w:tr>
        <w:tc>
          <w:tcPr>
            <w:tcW w:w="0" w:type="auto"/>
          </w:tcPr>
          <w:p>
            <w:pPr>
              <w:spacing w:after="20"/>
            </w:pPr>
            <w:r>
              <w:rPr>
                <w:b/>
              </w:rPr>
              <w:t xml:space="preserve">Cliente</w:t>
            </w:r>
          </w:p>
        </w:tc>
        <w:tc>
          <w:tcPr>
            <w:tcW w:w="0" w:type="auto"/>
          </w:tcPr>
          <w:p>
            <w:pPr>
              <w:spacing w:after="20"/>
            </w:pPr>
            <w:r>
              <w:rPr>
                <w:b/>
              </w:rPr>
              <w:t xml:space="preserve">Restablecer la conectividad esencial</w:t>
            </w:r>
            <w:r>
              <w:t xml:space="preserve"> del Gran Santiago, recuperando cobertura para los usuarios cautivos de menores ingresos.</w:t>
            </w:r>
          </w:p>
        </w:tc>
      </w:tr>
      <w:tr>
        <w:tc>
          <w:tcPr>
            <w:tcW w:w="0" w:type="auto"/>
          </w:tcPr>
          <w:p>
            <w:pPr>
              <w:spacing w:after="20"/>
            </w:pPr>
            <w:r>
              <w:rPr>
                <w:b/>
              </w:rPr>
              <w:t xml:space="preserve">Financiera</w:t>
            </w:r>
          </w:p>
        </w:tc>
        <w:tc>
          <w:tcPr>
            <w:tcW w:w="0" w:type="auto"/>
          </w:tcPr>
          <w:p>
            <w:pPr>
              <w:spacing w:after="20"/>
            </w:pPr>
            <w:r>
              <w:rPr>
                <w:b/>
              </w:rPr>
              <w:t xml:space="preserve">Preservar la solvencia y la liquidez</w:t>
            </w:r>
            <w:r>
              <w:t xml:space="preserve">: financiar la reconstrucción sin gatillar default, vía aporte estatal de capital y reprogramación de deuda, conteniendo el gasto.</w:t>
            </w:r>
          </w:p>
        </w:tc>
      </w:tr>
    </w:tbl>
    <w:p/>
    <w:p>
      <w:r>
        <w:rPr>
          <w:b/>
        </w:rPr>
        <w:t xml:space="preserve">Relato causa-efecto (de abajo hacia arriba):</w:t>
      </w:r>
    </w:p>
    <w:p>
      <w:r>
        <w:t xml:space="preserve">*Si* retenemos y movilizamos a nuestros ingenieros y cuadrillas (Aprendizaje), *entonces* podemos reconstruir y reabrir estaciones más rápido y barato que contratando todo afuera (Procesos); *si* reabrimos estaciones priorizadas por demanda, *entonces* devolvemos conectividad a los usuarios que más dependen del Metro (Cliente); *si* recuperamos viajes y demostramos manejo responsable del gasto, *entonces* justificamos el aporte de capital del Estado y protegemos la solvencia (Financiera). El crecimiento queda </w:t>
      </w:r>
      <w:r>
        <w:rPr>
          <w:b/>
        </w:rPr>
        <w:t xml:space="preserve">congelado</w:t>
      </w:r>
      <w:r>
        <w:t xml:space="preserve">; la prioridad es </w:t>
      </w:r>
      <w:r>
        <w:rPr>
          <w:b/>
        </w:rPr>
        <w:t xml:space="preserve">recuperar el activo y la caja</w:t>
      </w:r>
      <w:r>
        <w:t xml:space="preserve">.</w:t>
      </w:r>
    </w:p>
    <w:p>
      <w:pPr>
        <w:pStyle w:val="Heading2"/>
      </w:pPr>
      <w:r>
        <w:t xml:space="preserve">4.3 Definición de Métricas (4 pts)</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1800"/>
        <w:gridCol w:w="1800"/>
        <w:gridCol w:w="1800"/>
        <w:gridCol w:w="1800"/>
        <w:gridCol w:w="1800"/>
      </w:tblGrid>
      <w:tr>
        <w:tc>
          <w:tcPr>
            <w:tcW w:w="0" w:type="auto"/>
            <w:shd w:val="clear" w:color="auto" w:fill="1F3864"/>
          </w:tcPr>
          <w:p>
            <w:pPr>
              <w:spacing w:after="20"/>
            </w:pPr>
            <w:r>
              <w:rPr>
                <w:b/>
                <w:color w:val="FFFFFF"/>
              </w:rPr>
              <w:t xml:space="preserve">#</w:t>
            </w:r>
          </w:p>
        </w:tc>
        <w:tc>
          <w:tcPr>
            <w:tcW w:w="0" w:type="auto"/>
            <w:shd w:val="clear" w:color="auto" w:fill="1F3864"/>
          </w:tcPr>
          <w:p>
            <w:pPr>
              <w:spacing w:after="20"/>
            </w:pPr>
            <w:r>
              <w:rPr>
                <w:b/>
                <w:color w:val="FFFFFF"/>
              </w:rPr>
              <w:t xml:space="preserve">Perspectiva</w:t>
            </w:r>
          </w:p>
        </w:tc>
        <w:tc>
          <w:tcPr>
            <w:tcW w:w="0" w:type="auto"/>
            <w:shd w:val="clear" w:color="auto" w:fill="1F3864"/>
          </w:tcPr>
          <w:p>
            <w:pPr>
              <w:spacing w:after="20"/>
            </w:pPr>
            <w:r>
              <w:rPr>
                <w:b/>
                <w:color w:val="FFFFFF"/>
              </w:rPr>
              <w:t xml:space="preserve">Objetivo</w:t>
            </w:r>
          </w:p>
        </w:tc>
        <w:tc>
          <w:tcPr>
            <w:tcW w:w="0" w:type="auto"/>
            <w:shd w:val="clear" w:color="auto" w:fill="1F3864"/>
          </w:tcPr>
          <w:p>
            <w:pPr>
              <w:spacing w:after="20"/>
            </w:pPr>
            <w:r>
              <w:rPr>
                <w:b/>
                <w:color w:val="FFFFFF"/>
              </w:rPr>
              <w:t xml:space="preserve">KPI exacto</w:t>
            </w:r>
          </w:p>
        </w:tc>
        <w:tc>
          <w:tcPr>
            <w:tcW w:w="0" w:type="auto"/>
            <w:shd w:val="clear" w:color="auto" w:fill="1F3864"/>
          </w:tcPr>
          <w:p>
            <w:pPr>
              <w:spacing w:after="20"/>
            </w:pPr>
            <w:r>
              <w:rPr>
                <w:b/>
                <w:color w:val="FFFFFF"/>
              </w:rPr>
              <w:t xml:space="preserve">Tipo</w:t>
            </w:r>
          </w:p>
        </w:tc>
      </w:tr>
      <w:tr>
        <w:tc>
          <w:tcPr>
            <w:tcW w:w="0" w:type="auto"/>
          </w:tcPr>
          <w:p>
            <w:pPr>
              <w:spacing w:after="20"/>
            </w:pPr>
            <w:r>
              <w:t xml:space="preserve">A1</w:t>
            </w:r>
          </w:p>
        </w:tc>
        <w:tc>
          <w:tcPr>
            <w:tcW w:w="0" w:type="auto"/>
          </w:tcPr>
          <w:p>
            <w:pPr>
              <w:spacing w:after="20"/>
            </w:pPr>
            <w:r>
              <w:t xml:space="preserve">Aprendizaje/Base</w:t>
            </w:r>
          </w:p>
        </w:tc>
        <w:tc>
          <w:tcPr>
            <w:tcW w:w="0" w:type="auto"/>
          </w:tcPr>
          <w:p>
            <w:pPr>
              <w:spacing w:after="20"/>
            </w:pPr>
            <w:r>
              <w:t xml:space="preserve">Movilizar capacidad interna</w:t>
            </w:r>
          </w:p>
        </w:tc>
        <w:tc>
          <w:tcPr>
            <w:tcW w:w="0" w:type="auto"/>
          </w:tcPr>
          <w:p>
            <w:pPr>
              <w:spacing w:after="20"/>
            </w:pPr>
            <w:r>
              <w:rPr>
                <w:b/>
              </w:rPr>
              <w:t xml:space="preserve">% de avance de reconstrucción ejecutado con cuadrillas/ingeniería propia</w:t>
            </w:r>
            <w:r>
              <w:t xml:space="preserve"> vs total</w:t>
            </w:r>
          </w:p>
        </w:tc>
        <w:tc>
          <w:tcPr>
            <w:tcW w:w="0" w:type="auto"/>
          </w:tcPr>
          <w:p>
            <w:pPr>
              <w:spacing w:after="20"/>
            </w:pPr>
            <w:r>
              <w:rPr>
                <w:b/>
              </w:rPr>
              <w:t xml:space="preserve">Lead</w:t>
            </w:r>
            <w:r>
              <w:t xml:space="preserve"> (predictivo: anticipa la velocidad y el costo de reapertura)</w:t>
            </w:r>
          </w:p>
        </w:tc>
      </w:tr>
      <w:tr>
        <w:tc>
          <w:tcPr>
            <w:tcW w:w="0" w:type="auto"/>
          </w:tcPr>
          <w:p>
            <w:pPr>
              <w:spacing w:after="20"/>
            </w:pPr>
            <w:r>
              <w:t xml:space="preserve">A2</w:t>
            </w:r>
          </w:p>
        </w:tc>
        <w:tc>
          <w:tcPr>
            <w:tcW w:w="0" w:type="auto"/>
          </w:tcPr>
          <w:p>
            <w:pPr>
              <w:spacing w:after="20"/>
            </w:pPr>
            <w:r>
              <w:t xml:space="preserve">Procesos</w:t>
            </w:r>
          </w:p>
        </w:tc>
        <w:tc>
          <w:tcPr>
            <w:tcW w:w="0" w:type="auto"/>
          </w:tcPr>
          <w:p>
            <w:pPr>
              <w:spacing w:after="20"/>
            </w:pPr>
            <w:r>
              <w:t xml:space="preserve">Reabrir estaciones rápido y seguro</w:t>
            </w:r>
          </w:p>
        </w:tc>
        <w:tc>
          <w:tcPr>
            <w:tcW w:w="0" w:type="auto"/>
          </w:tcPr>
          <w:p>
            <w:pPr>
              <w:spacing w:after="20"/>
            </w:pPr>
            <w:r>
              <w:rPr>
                <w:b/>
              </w:rPr>
              <w:t xml:space="preserve">N° de estaciones reabiertas / semana</w:t>
            </w:r>
            <w:r>
              <w:t xml:space="preserve"> (y % de red operativa)</w:t>
            </w:r>
          </w:p>
        </w:tc>
        <w:tc>
          <w:tcPr>
            <w:tcW w:w="0" w:type="auto"/>
          </w:tcPr>
          <w:p>
            <w:pPr>
              <w:spacing w:after="20"/>
            </w:pPr>
            <w:r>
              <w:rPr>
                <w:b/>
              </w:rPr>
              <w:t xml:space="preserve">Lead</w:t>
            </w:r>
            <w:r>
              <w:t xml:space="preserve"> (operativo, marca el ritmo de recuperación)</w:t>
            </w:r>
          </w:p>
        </w:tc>
      </w:tr>
      <w:tr>
        <w:tc>
          <w:tcPr>
            <w:tcW w:w="0" w:type="auto"/>
          </w:tcPr>
          <w:p>
            <w:pPr>
              <w:spacing w:after="20"/>
            </w:pPr>
            <w:r>
              <w:t xml:space="preserve">A3</w:t>
            </w:r>
          </w:p>
        </w:tc>
        <w:tc>
          <w:tcPr>
            <w:tcW w:w="0" w:type="auto"/>
          </w:tcPr>
          <w:p>
            <w:pPr>
              <w:spacing w:after="20"/>
            </w:pPr>
            <w:r>
              <w:t xml:space="preserve">Cliente</w:t>
            </w:r>
          </w:p>
        </w:tc>
        <w:tc>
          <w:tcPr>
            <w:tcW w:w="0" w:type="auto"/>
          </w:tcPr>
          <w:p>
            <w:pPr>
              <w:spacing w:after="20"/>
            </w:pPr>
            <w:r>
              <w:t xml:space="preserve">Restablecer conectividad</w:t>
            </w:r>
          </w:p>
        </w:tc>
        <w:tc>
          <w:tcPr>
            <w:tcW w:w="0" w:type="auto"/>
          </w:tcPr>
          <w:p>
            <w:pPr>
              <w:spacing w:after="20"/>
            </w:pPr>
            <w:r>
              <w:rPr>
                <w:b/>
              </w:rPr>
              <w:t xml:space="preserve">% de cobertura de red disponible para el usuario</w:t>
            </w:r>
            <w:r>
              <w:t xml:space="preserve"> (estaciones operativas / total) y recuperación de validaciones diarias vs pre-crisis</w:t>
            </w:r>
          </w:p>
        </w:tc>
        <w:tc>
          <w:tcPr>
            <w:tcW w:w="0" w:type="auto"/>
          </w:tcPr>
          <w:p>
            <w:pPr>
              <w:spacing w:after="20"/>
            </w:pPr>
            <w:r>
              <w:rPr>
                <w:b/>
              </w:rPr>
              <w:t xml:space="preserve">Lag</w:t>
            </w:r>
            <w:r>
              <w:t xml:space="preserve"> (resultado de la reapertura)</w:t>
            </w:r>
          </w:p>
        </w:tc>
      </w:tr>
      <w:tr>
        <w:tc>
          <w:tcPr>
            <w:tcW w:w="0" w:type="auto"/>
          </w:tcPr>
          <w:p>
            <w:pPr>
              <w:spacing w:after="20"/>
            </w:pPr>
            <w:r>
              <w:t xml:space="preserve">A4</w:t>
            </w:r>
          </w:p>
        </w:tc>
        <w:tc>
          <w:tcPr>
            <w:tcW w:w="0" w:type="auto"/>
          </w:tcPr>
          <w:p>
            <w:pPr>
              <w:spacing w:after="20"/>
            </w:pPr>
            <w:r>
              <w:t xml:space="preserve">Financiera</w:t>
            </w:r>
          </w:p>
        </w:tc>
        <w:tc>
          <w:tcPr>
            <w:tcW w:w="0" w:type="auto"/>
          </w:tcPr>
          <w:p>
            <w:pPr>
              <w:spacing w:after="20"/>
            </w:pPr>
            <w:r>
              <w:t xml:space="preserve">Preservar solvencia y liquidez</w:t>
            </w:r>
          </w:p>
        </w:tc>
        <w:tc>
          <w:tcPr>
            <w:tcW w:w="0" w:type="auto"/>
          </w:tcPr>
          <w:p>
            <w:pPr>
              <w:spacing w:after="20"/>
            </w:pPr>
            <w:r>
              <w:rPr>
                <w:b/>
              </w:rPr>
              <w:t xml:space="preserve">Costo de reconstrucción ejecutado vs presupuesto</w:t>
            </w:r>
            <w:r>
              <w:t xml:space="preserve"> y </w:t>
            </w:r>
            <w:r>
              <w:rPr>
                <w:b/>
              </w:rPr>
              <w:t xml:space="preserve">meses de caja disponibles (runway)</w:t>
            </w:r>
          </w:p>
        </w:tc>
        <w:tc>
          <w:tcPr>
            <w:tcW w:w="0" w:type="auto"/>
          </w:tcPr>
          <w:p>
            <w:pPr>
              <w:spacing w:after="20"/>
            </w:pPr>
            <w:r>
              <w:rPr>
                <w:b/>
              </w:rPr>
              <w:t xml:space="preserve">Lag</w:t>
            </w:r>
            <w:r>
              <w:t xml:space="preserve"> financiero (resultado), con lectura semanal de tesorería</w:t>
            </w:r>
          </w:p>
        </w:tc>
      </w:tr>
    </w:tbl>
    <w:p/>
    <w:p>
      <w:pPr>
        <w:pStyle w:val="Quote"/>
      </w:pPr>
      <w:r>
        <w:t xml:space="preserve">Nota técnica: un </w:t>
      </w:r>
      <w:r>
        <w:rPr>
          <w:b/>
        </w:rPr>
        <w:t xml:space="preserve">Lead measure</w:t>
      </w:r>
      <w:r>
        <w:t xml:space="preserve"> es predictivo y está bajo control del equipo (lo "movemos" hoy); un </w:t>
      </w:r>
      <w:r>
        <w:rPr>
          <w:b/>
        </w:rPr>
        <w:t xml:space="preserve">Lag measure</w:t>
      </w:r>
      <w:r>
        <w:t xml:space="preserve"> es histórico/resultado (lo "vemos" cuando ya ocurrió). El ritmo de reapertura (A2) es el Lead que *empuja* el resultado de cobertura y caja.</w:t>
      </w:r>
    </w:p>
    <w:p>
      <w:pPr>
        <w:pStyle w:val="Heading2"/>
      </w:pPr>
      <w:r>
        <w:t xml:space="preserve">4.4 Ficha de Control Crítica (4 pts)</w:t>
      </w:r>
    </w:p>
    <w:p>
      <w:r>
        <w:t xml:space="preserve">Indicador </w:t>
      </w:r>
      <w:r>
        <w:rPr>
          <w:b/>
        </w:rPr>
        <w:t xml:space="preserve">Lead</w:t>
      </w:r>
      <w:r>
        <w:t xml:space="preserve"> más importante para revertir la crisis A (perspectiva de Procesos):</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500"/>
        <w:gridCol w:w="4500"/>
      </w:tblGrid>
      <w:tr>
        <w:tc>
          <w:tcPr>
            <w:tcW w:w="0" w:type="auto"/>
            <w:shd w:val="clear" w:color="auto" w:fill="1F3864"/>
          </w:tcPr>
          <w:p>
            <w:pPr>
              <w:spacing w:after="20"/>
            </w:pPr>
            <w:r>
              <w:rPr>
                <w:b/>
                <w:color w:val="FFFFFF"/>
              </w:rPr>
              <w:t xml:space="preserve">Campo</w:t>
            </w:r>
          </w:p>
        </w:tc>
        <w:tc>
          <w:tcPr>
            <w:tcW w:w="0" w:type="auto"/>
            <w:shd w:val="clear" w:color="auto" w:fill="1F3864"/>
          </w:tcPr>
          <w:p>
            <w:pPr>
              <w:spacing w:after="20"/>
            </w:pPr>
            <w:r>
              <w:rPr>
                <w:b/>
                <w:color w:val="FFFFFF"/>
              </w:rPr>
              <w:t xml:space="preserve">Definición</w:t>
            </w:r>
          </w:p>
        </w:tc>
      </w:tr>
      <w:tr>
        <w:tc>
          <w:tcPr>
            <w:tcW w:w="0" w:type="auto"/>
          </w:tcPr>
          <w:p>
            <w:pPr>
              <w:spacing w:after="20"/>
            </w:pPr>
            <w:r>
              <w:rPr>
                <w:b/>
              </w:rPr>
              <w:t xml:space="preserve">Nombre del indicador</w:t>
            </w:r>
          </w:p>
        </w:tc>
        <w:tc>
          <w:tcPr>
            <w:tcW w:w="0" w:type="auto"/>
          </w:tcPr>
          <w:p>
            <w:pPr>
              <w:spacing w:after="20"/>
            </w:pPr>
            <w:r>
              <w:t xml:space="preserve">Velocidad de Reapertura de Estaciones (Ritmo de Reconstrucción)</w:t>
            </w:r>
          </w:p>
        </w:tc>
      </w:tr>
      <w:tr>
        <w:tc>
          <w:tcPr>
            <w:tcW w:w="0" w:type="auto"/>
          </w:tcPr>
          <w:p>
            <w:pPr>
              <w:spacing w:after="20"/>
            </w:pPr>
            <w:r>
              <w:rPr>
                <w:b/>
              </w:rPr>
              <w:t xml:space="preserve">Perspectiva</w:t>
            </w:r>
          </w:p>
        </w:tc>
        <w:tc>
          <w:tcPr>
            <w:tcW w:w="0" w:type="auto"/>
          </w:tcPr>
          <w:p>
            <w:pPr>
              <w:spacing w:after="20"/>
            </w:pPr>
            <w:r>
              <w:t xml:space="preserve">Procesos Internos</w:t>
            </w:r>
          </w:p>
        </w:tc>
      </w:tr>
      <w:tr>
        <w:tc>
          <w:tcPr>
            <w:tcW w:w="0" w:type="auto"/>
          </w:tcPr>
          <w:p>
            <w:pPr>
              <w:spacing w:after="20"/>
            </w:pPr>
            <w:r>
              <w:rPr>
                <w:b/>
              </w:rPr>
              <w:t xml:space="preserve">Tipo</w:t>
            </w:r>
          </w:p>
        </w:tc>
        <w:tc>
          <w:tcPr>
            <w:tcW w:w="0" w:type="auto"/>
          </w:tcPr>
          <w:p>
            <w:pPr>
              <w:spacing w:after="20"/>
            </w:pPr>
            <w:r>
              <w:t xml:space="preserve">Lead Measure (predictivo/operativo)</w:t>
            </w:r>
          </w:p>
        </w:tc>
      </w:tr>
      <w:tr>
        <w:tc>
          <w:tcPr>
            <w:tcW w:w="0" w:type="auto"/>
          </w:tcPr>
          <w:p>
            <w:pPr>
              <w:spacing w:after="20"/>
            </w:pPr>
            <w:r>
              <w:rPr>
                <w:b/>
              </w:rPr>
              <w:t xml:space="preserve">Fórmula</w:t>
            </w:r>
          </w:p>
        </w:tc>
        <w:tc>
          <w:tcPr>
            <w:tcW w:w="0" w:type="auto"/>
          </w:tcPr>
          <w:p>
            <w:pPr>
              <w:spacing w:after="20"/>
            </w:pPr>
            <w:r>
              <w:t xml:space="preserve">(N° de estaciones reabiertas con servicio seguro en el período) ÷ (N° de semanas del período). Indicador complementario: % red operativa = estaciones operativas ÷ 136</w:t>
            </w:r>
          </w:p>
        </w:tc>
      </w:tr>
      <w:tr>
        <w:tc>
          <w:tcPr>
            <w:tcW w:w="0" w:type="auto"/>
          </w:tcPr>
          <w:p>
            <w:pPr>
              <w:spacing w:after="20"/>
            </w:pPr>
            <w:r>
              <w:rPr>
                <w:b/>
              </w:rPr>
              <w:t xml:space="preserve">Frecuencia de medición</w:t>
            </w:r>
          </w:p>
        </w:tc>
        <w:tc>
          <w:tcPr>
            <w:tcW w:w="0" w:type="auto"/>
          </w:tcPr>
          <w:p>
            <w:pPr>
              <w:spacing w:after="20"/>
            </w:pPr>
            <w:r>
              <w:rPr>
                <w:b/>
              </w:rPr>
              <w:t xml:space="preserve">Semanal</w:t>
            </w:r>
            <w:r>
              <w:t xml:space="preserve"> (reporte de avance en comité de crisis cada lunes)</w:t>
            </w:r>
          </w:p>
        </w:tc>
      </w:tr>
      <w:tr>
        <w:tc>
          <w:tcPr>
            <w:tcW w:w="0" w:type="auto"/>
          </w:tcPr>
          <w:p>
            <w:pPr>
              <w:spacing w:after="20"/>
            </w:pPr>
            <w:r>
              <w:rPr>
                <w:b/>
              </w:rPr>
              <w:t xml:space="preserve">Meta (realista)</w:t>
            </w:r>
          </w:p>
        </w:tc>
        <w:tc>
          <w:tcPr>
            <w:tcW w:w="0" w:type="auto"/>
          </w:tcPr>
          <w:p>
            <w:pPr>
              <w:spacing w:after="20"/>
            </w:pPr>
            <w:r>
              <w:t xml:space="preserve">Reabrir en promedio </w:t>
            </w:r>
            <w:r>
              <w:rPr>
                <w:b/>
              </w:rPr>
              <w:t xml:space="preserve">≥ 4–6 estaciones por semana</w:t>
            </w:r>
            <w:r>
              <w:t xml:space="preserve"> hasta superar el 95% de la red operativa dentro de ~4–5 meses, sin sobrepasar el presupuesto de reconstrucción aprobado</w:t>
            </w:r>
          </w:p>
        </w:tc>
      </w:tr>
      <w:tr>
        <w:tc>
          <w:tcPr>
            <w:tcW w:w="0" w:type="auto"/>
          </w:tcPr>
          <w:p>
            <w:pPr>
              <w:spacing w:after="20"/>
            </w:pPr>
            <w:r>
              <w:rPr>
                <w:b/>
              </w:rPr>
              <w:t xml:space="preserve">Cargo responsable</w:t>
            </w:r>
          </w:p>
        </w:tc>
        <w:tc>
          <w:tcPr>
            <w:tcW w:w="0" w:type="auto"/>
          </w:tcPr>
          <w:p>
            <w:pPr>
              <w:spacing w:after="20"/>
            </w:pPr>
            <w:r>
              <w:t xml:space="preserve">Gerente de Ingeniería y Mantenimiento de Infraestructura (con reporte directo al Comité de Crisis / Gerencia General)</w:t>
            </w:r>
          </w:p>
        </w:tc>
      </w:tr>
      <w:tr>
        <w:tc>
          <w:tcPr>
            <w:tcW w:w="0" w:type="auto"/>
          </w:tcPr>
          <w:p>
            <w:pPr>
              <w:spacing w:after="20"/>
            </w:pPr>
            <w:r>
              <w:rPr>
                <w:b/>
              </w:rPr>
              <w:t xml:space="preserve">Fuente del dato</w:t>
            </w:r>
          </w:p>
        </w:tc>
        <w:tc>
          <w:tcPr>
            <w:tcW w:w="0" w:type="auto"/>
          </w:tcPr>
          <w:p>
            <w:pPr>
              <w:spacing w:after="20"/>
            </w:pPr>
            <w:r>
              <w:t xml:space="preserve">Acta semanal de obras + sistema de gestión de mantenimiento (GMAO)</w:t>
            </w:r>
          </w:p>
        </w:tc>
      </w:tr>
    </w:tbl>
    <w:p/>
    <w:p>
      <w:pPr>
        <w:pStyle w:val="Heading2"/>
      </w:pPr>
      <w:r>
        <w:t xml:space="preserve">4.5 Iniciativa Ágil (4 pts)</w:t>
      </w:r>
    </w:p>
    <w:p>
      <w:r>
        <w:rPr>
          <w:b/>
        </w:rPr>
        <w:t xml:space="preserve">Proyecto "Estaciones Modulares 72h" (reconstrucción priorizada por demanda).</w:t>
      </w:r>
    </w:p>
    <w:p>
      <w:pPr>
        <w:pStyle w:val="ListParagraph"/>
        <w:numPr>
          <w:ilvl w:val="0"/>
          <w:numId w:val="1"/>
        </w:numPr>
      </w:pPr>
      <w:r>
        <w:rPr>
          <w:b/>
        </w:rPr>
        <w:t xml:space="preserve">Qué:</w:t>
      </w:r>
      <w:r>
        <w:t xml:space="preserve"> definir un </w:t>
      </w:r>
      <w:r>
        <w:rPr>
          <w:b/>
        </w:rPr>
        <w:t xml:space="preserve">estándar mínimo de reapertura segura</w:t>
      </w:r>
      <w:r>
        <w:t xml:space="preserve"> (control de accesos, validación provisoria con torniquetes/lectores móviles, señalética y seguridad básica) que permita reabrir una estación dañada </w:t>
      </w:r>
      <w:r>
        <w:rPr>
          <w:b/>
        </w:rPr>
        <w:t xml:space="preserve">sin esperar la reconstrucción estética/comercial completa</w:t>
      </w:r>
      <w:r>
        <w:t xml:space="preserve">.</w:t>
      </w:r>
    </w:p>
    <w:p>
      <w:pPr>
        <w:pStyle w:val="ListParagraph"/>
        <w:numPr>
          <w:ilvl w:val="0"/>
          <w:numId w:val="1"/>
        </w:numPr>
      </w:pPr>
      <w:r>
        <w:rPr>
          <w:b/>
        </w:rPr>
        <w:t xml:space="preserve">Cómo (acción específica, no declaración):</w:t>
      </w:r>
    </w:p>
    <w:p>
      <w:pPr>
        <w:pStyle w:val="ListParagraph"/>
        <w:numPr>
          <w:ilvl w:val="1"/>
          <w:numId w:val="2"/>
        </w:numPr>
      </w:pPr>
      <w:r>
        <w:rPr>
          <w:b/>
        </w:rPr>
        <w:t xml:space="preserve">Priorización por demanda:</w:t>
      </w:r>
      <w:r>
        <w:t xml:space="preserve"> ordenar las ~80 estaciones dañadas por validaciones históricas y por su rol en la conectividad de líneas troncales (L1, L5), reabriendo primero las de mayor impacto.</w:t>
      </w:r>
    </w:p>
    <w:p>
      <w:pPr>
        <w:pStyle w:val="ListParagraph"/>
        <w:numPr>
          <w:ilvl w:val="1"/>
          <w:numId w:val="2"/>
        </w:numPr>
      </w:pPr>
      <w:r>
        <w:rPr>
          <w:b/>
        </w:rPr>
        <w:t xml:space="preserve">Kits de validación móvil:</w:t>
      </w:r>
      <w:r>
        <w:t xml:space="preserve"> desplegar lectores de tarjeta bip! portátiles y torniquetes provisorios para no depender de la reconstrucción de las máquinas fijas destruidas.</w:t>
      </w:r>
    </w:p>
    <w:p>
      <w:pPr>
        <w:pStyle w:val="ListParagraph"/>
        <w:numPr>
          <w:ilvl w:val="1"/>
          <w:numId w:val="2"/>
        </w:numPr>
      </w:pPr>
      <w:r>
        <w:rPr>
          <w:b/>
        </w:rPr>
        <w:t xml:space="preserve">Cuadrillas propias + contratistas en paralelo:</w:t>
      </w:r>
      <w:r>
        <w:t xml:space="preserve"> turnos extendidos de personal interno para obra civil ligera, reservando contratistas para daño estructural mayor.</w:t>
      </w:r>
    </w:p>
    <w:p>
      <w:pPr>
        <w:pStyle w:val="ListParagraph"/>
        <w:numPr>
          <w:ilvl w:val="1"/>
          <w:numId w:val="2"/>
        </w:numPr>
      </w:pPr>
      <w:r>
        <w:rPr>
          <w:b/>
        </w:rPr>
        <w:t xml:space="preserve">Tablero semanal</w:t>
      </w:r>
      <w:r>
        <w:t xml:space="preserve"> que alimenta directamente el KPI de la ficha 4.4 (estaciones/semana) y dispara alertas si el ritmo cae bajo meta.</w:t>
      </w:r>
    </w:p>
    <w:p>
      <w:pPr>
        <w:pStyle w:val="ListParagraph"/>
        <w:numPr>
          <w:ilvl w:val="0"/>
          <w:numId w:val="1"/>
        </w:numPr>
      </w:pPr>
      <w:r>
        <w:rPr>
          <w:b/>
        </w:rPr>
        <w:t xml:space="preserve">Por qué asegura la meta del KPI:</w:t>
      </w:r>
      <w:r>
        <w:t xml:space="preserve"> ataca el cuello de botella real (esperar la reconstrucción "completa" frena la reapertura). Al separar "operativa segura" de "terminada", se acelera el numerador del KPI (estaciones reabiertas/semana) y se recuperan validaciones (caja) antes.</w:t>
      </w:r>
    </w:p>
    <w:p>
      <w:pPr>
        <w:pBdr>
          <w:bottom w:val="single" w:sz="6" w:space="1" w:color="999999"/>
        </w:pBdr>
      </w:pPr>
    </w:p>
    <w:p>
      <w:pPr>
        <w:pStyle w:val="Heading1"/>
      </w:pPr>
      <w:r>
        <w:t xml:space="preserve">5. ESCENARIO B — Colapso de Demanda y Liquidez / COVID-19 (2020–2021)</w:t>
      </w:r>
    </w:p>
    <w:p>
      <w:pPr>
        <w:pStyle w:val="Quote"/>
      </w:pPr>
      <w:r>
        <w:rPr>
          <w:b/>
        </w:rPr>
        <w:t xml:space="preserve">Contexto.</w:t>
      </w:r>
      <w:r>
        <w:t xml:space="preserve"> Tras la reapertura post-estallido, en marzo de 2020 llega la pandemia. Cuarentenas, teletrabajo y restricciones de aforo hacen </w:t>
      </w:r>
      <w:r>
        <w:rPr>
          <w:b/>
        </w:rPr>
        <w:t xml:space="preserve">desplomar la afluencia</w:t>
      </w:r>
      <w:r>
        <w:t xml:space="preserve">. Metro, sin embargo, </w:t>
      </w:r>
      <w:r>
        <w:rPr>
          <w:b/>
        </w:rPr>
        <w:t xml:space="preserve">debe seguir operando</w:t>
      </w:r>
      <w:r>
        <w:t xml:space="preserve"> (es servicio esencial): mantiene trenes circulando —muchas veces semivacíos por las reglas de distanciamiento— con </w:t>
      </w:r>
      <w:r>
        <w:rPr>
          <w:b/>
        </w:rPr>
        <w:t xml:space="preserve">altos costos fijos</w:t>
      </w:r>
      <w:r>
        <w:t xml:space="preserve"> (energía de tracción, personal, mantenimiento, deuda). El objetivo </w:t>
      </w:r>
      <w:r>
        <w:rPr>
          <w:b/>
        </w:rPr>
        <w:t xml:space="preserve">"EBITDA positivo" muere</w:t>
      </w:r>
      <w:r>
        <w:t xml:space="preserve">; el foco es la </w:t>
      </w:r>
      <w:r>
        <w:rPr>
          <w:b/>
        </w:rPr>
        <w:t xml:space="preserve">supervivencia de caja y la eficiencia operativa extrema</w:t>
      </w:r>
      <w:r>
        <w:t xml:space="preserve">. *(Statista confirma una caída fuerte de los ingresos operativos del metro de Santiago en 2020 frente a 2019; cuarentena obligatoria en Santiago desde mayo 2020 — Wikipedia "COVID-19 pandemic in Chile".)*</w:t>
      </w:r>
    </w:p>
    <w:p>
      <w:pPr>
        <w:pStyle w:val="Heading2"/>
      </w:pPr>
      <w:r>
        <w:t xml:space="preserve">5.1 Auditoría Histórica (4 pts)</w:t>
      </w:r>
    </w:p>
    <w:p>
      <w:r>
        <w:rPr>
          <w:b/>
        </w:rPr>
        <w:t xml:space="preserve">a) Caída de afluencia (verificado en tendencia; cifra exacta a confirmar en EERR/Memoria 2020).</w:t>
      </w:r>
    </w:p>
    <w:p>
      <w:pPr>
        <w:pStyle w:val="ListParagraph"/>
        <w:numPr>
          <w:ilvl w:val="0"/>
          <w:numId w:val="1"/>
        </w:numPr>
      </w:pPr>
      <w:r>
        <w:t xml:space="preserve">La afluencia cayó drásticamente: de un nivel pre-pandemia del orden de </w:t>
      </w:r>
      <w:r>
        <w:rPr>
          <w:b/>
        </w:rPr>
        <w:t xml:space="preserve">2,3–2,5 millones de viajes/día</w:t>
      </w:r>
      <w:r>
        <w:t xml:space="preserve"> a mínimos históricos durante las cuarentenas (caídas puntuales superiores al 70–80% en los peores meses). En el agregado anual, </w:t>
      </w:r>
      <w:r>
        <w:rPr>
          <w:b/>
        </w:rPr>
        <w:t xml:space="preserve">2020 cerró con aproximadamente la mitad de los viajes de 2019</w:t>
      </w:r>
      <w:r>
        <w:t xml:space="preserve">.</w:t>
      </w:r>
    </w:p>
    <w:p>
      <w:pPr>
        <w:pStyle w:val="ListParagraph"/>
        <w:numPr>
          <w:ilvl w:val="0"/>
          <w:numId w:val="1"/>
        </w:numPr>
      </w:pPr>
      <w:r>
        <w:rPr>
          <w:rFonts w:ascii="Consolas" w:hAnsi="Consolas"/>
        </w:rPr>
        <w:t xml:space="preserve">[VERIFICAR EN EERR]</w:t>
      </w:r>
      <w:r>
        <w:t xml:space="preserve"> Validaciones/viajes anuales 2020 vs 2019: </w:t>
      </w:r>
      <w:r>
        <w:rPr>
          <w:b/>
        </w:rPr>
        <w:t xml:space="preserve">registrar el % exacto</w:t>
      </w:r>
      <w:r>
        <w:t xml:space="preserve"> de caída desde la Memoria 2020 (indicadores operacionales) y el desglose por línea (Statista reporta, p. ej., L1 ≈ 93,2 millones de pasajeros en 2020).</w:t>
      </w:r>
    </w:p>
    <w:p>
      <w:r>
        <w:rPr>
          <w:b/>
        </w:rPr>
        <w:t xml:space="preserve">b) Variación de ingresos por pasajeros (a verificar en EERR 2020).</w:t>
      </w:r>
    </w:p>
    <w:p>
      <w:pPr>
        <w:pStyle w:val="ListParagraph"/>
        <w:numPr>
          <w:ilvl w:val="0"/>
          <w:numId w:val="1"/>
        </w:numPr>
      </w:pPr>
      <w:r>
        <w:t xml:space="preserve">Como la tarifa es regulada y los ingresos tarifarios dependen casi 1:1 de las validaciones, la caída de ingresos por pasajeros es </w:t>
      </w:r>
      <w:r>
        <w:rPr>
          <w:b/>
        </w:rPr>
        <w:t xml:space="preserve">proporcional al desplome de demanda</w:t>
      </w:r>
      <w:r>
        <w:t xml:space="preserve">.</w:t>
      </w:r>
    </w:p>
    <w:p>
      <w:pPr>
        <w:pStyle w:val="ListParagraph"/>
        <w:numPr>
          <w:ilvl w:val="0"/>
          <w:numId w:val="1"/>
        </w:numPr>
      </w:pPr>
      <w:r>
        <w:t xml:space="preserve">Statista confirma que </w:t>
      </w:r>
      <w:r>
        <w:rPr>
          <w:b/>
        </w:rPr>
        <w:t xml:space="preserve">la recaudación/ingresos operativos del metro cayó de forma marcada en 2020 respecto de 2019</w:t>
      </w:r>
      <w:r>
        <w:t xml:space="preserve"> (el valor porcentual exacto está tras paywall; debe leerse en el EERR).</w:t>
      </w:r>
    </w:p>
    <w:p>
      <w:pPr>
        <w:pStyle w:val="ListParagraph"/>
        <w:numPr>
          <w:ilvl w:val="0"/>
          <w:numId w:val="1"/>
        </w:numPr>
      </w:pPr>
      <w:r>
        <w:rPr>
          <w:rFonts w:ascii="Consolas" w:hAnsi="Consolas"/>
        </w:rPr>
        <w:t xml:space="preserve">[VERIFICAR EN EERR]</w:t>
      </w:r>
      <w:r>
        <w:t xml:space="preserve"> Variación de ingresos por pasajeros 2020 vs 2019: </w:t>
      </w:r>
      <w:r>
        <w:rPr>
          <w:b/>
        </w:rPr>
        <w:t xml:space="preserve">registrar el % exacto</w:t>
      </w:r>
      <w:r>
        <w:t xml:space="preserve">.</w:t>
      </w:r>
    </w:p>
    <w:p>
      <w:r>
        <w:rPr>
          <w:b/>
        </w:rPr>
        <w:t xml:space="preserve">c) Impacto en EBITDA y línea final (a verificar en EERR 2020).</w:t>
      </w:r>
    </w:p>
    <w:p>
      <w:pPr>
        <w:pStyle w:val="ListParagraph"/>
        <w:numPr>
          <w:ilvl w:val="0"/>
          <w:numId w:val="1"/>
        </w:numPr>
      </w:pPr>
      <w:r>
        <w:t xml:space="preserve">El problema estructural: </w:t>
      </w:r>
      <w:r>
        <w:rPr>
          <w:b/>
        </w:rPr>
        <w:t xml:space="preserve">los ingresos son variables (caen con la demanda) pero los costos son mayoritariamente fijos</w:t>
      </w:r>
      <w:r>
        <w:t xml:space="preserve"> (no caen al mismo ritmo). Resultado: </w:t>
      </w:r>
      <w:r>
        <w:rPr>
          <w:b/>
        </w:rPr>
        <w:t xml:space="preserve">EBITDA se deteriora o se vuelve negativo</w:t>
      </w:r>
      <w:r>
        <w:t xml:space="preserve"> y la "Pérdida del ejercicio" 2020 es severa.</w:t>
      </w:r>
    </w:p>
    <w:p>
      <w:pPr>
        <w:pStyle w:val="ListParagraph"/>
        <w:numPr>
          <w:ilvl w:val="0"/>
          <w:numId w:val="1"/>
        </w:numPr>
      </w:pPr>
      <w:r>
        <w:t xml:space="preserve">El Estado debió </w:t>
      </w:r>
      <w:r>
        <w:rPr>
          <w:b/>
        </w:rPr>
        <w:t xml:space="preserve">reforzar el financiamiento</w:t>
      </w:r>
      <w:r>
        <w:t xml:space="preserve"> (aportes de capital / mayor subsidio al transporte) para sostener la operación esencial.</w:t>
      </w:r>
    </w:p>
    <w:p>
      <w:pPr>
        <w:pStyle w:val="ListParagraph"/>
        <w:numPr>
          <w:ilvl w:val="0"/>
          <w:numId w:val="1"/>
        </w:numPr>
      </w:pPr>
      <w:r>
        <w:rPr>
          <w:rFonts w:ascii="Consolas" w:hAnsi="Consolas"/>
        </w:rPr>
        <w:t xml:space="preserve">[VERIFICAR EN EERR]</w:t>
      </w:r>
      <w:r>
        <w:t xml:space="preserve"> EBITDA 2020, "Ganancia (pérdida)" 2020, y aporte estatal de capital del año: </w:t>
      </w:r>
      <w:r>
        <w:rPr>
          <w:b/>
        </w:rPr>
        <w:t xml:space="preserve">registrar cifras exactas</w:t>
      </w:r>
      <w:r>
        <w:t xml:space="preserve"> desde la Memoria 2020 (CMF). Comparar 2021 para mostrar la recuperación parcial.</w:t>
      </w:r>
    </w:p>
    <w:p>
      <w:pPr>
        <w:pStyle w:val="Quote"/>
      </w:pPr>
      <w:r>
        <w:rPr>
          <w:b/>
        </w:rPr>
        <w:t xml:space="preserve">Mensaje para el jurado:</w:t>
      </w:r>
      <w:r>
        <w:t xml:space="preserve"> en 2019 el problema fue el </w:t>
      </w:r>
      <w:r>
        <w:rPr>
          <w:b/>
        </w:rPr>
        <w:t xml:space="preserve">activo</w:t>
      </w:r>
      <w:r>
        <w:t xml:space="preserve"> (lo quemado). En 2020 el problema es la </w:t>
      </w:r>
      <w:r>
        <w:rPr>
          <w:b/>
        </w:rPr>
        <w:t xml:space="preserve">caja</w:t>
      </w:r>
      <w:r>
        <w:t xml:space="preserve">: una empresa puede tener patrimonio y aun así morir por falta de liquidez. El BSC debe priorizar el </w:t>
      </w:r>
      <w:r>
        <w:rPr>
          <w:b/>
        </w:rPr>
        <w:t xml:space="preserve">runway de caja</w:t>
      </w:r>
      <w:r>
        <w:t xml:space="preserve"> por sobre la utilidad contable.</w:t>
      </w:r>
    </w:p>
    <w:p>
      <w:pPr>
        <w:pStyle w:val="Heading2"/>
      </w:pPr>
      <w:r>
        <w:t xml:space="preserve">5.2 El Pivot Estratégico (4 pts)</w:t>
      </w:r>
    </w:p>
    <w:p>
      <w:r>
        <w:rPr>
          <w:b/>
        </w:rPr>
        <w:t xml:space="preserve">Tema estratégico de emergencia: "Sobrevivir en caja operando un servicio esencial con la máxima eficiencia por viaje."</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500"/>
        <w:gridCol w:w="4500"/>
      </w:tblGrid>
      <w:tr>
        <w:tc>
          <w:tcPr>
            <w:tcW w:w="0" w:type="auto"/>
            <w:shd w:val="clear" w:color="auto" w:fill="1F3864"/>
          </w:tcPr>
          <w:p>
            <w:pPr>
              <w:spacing w:after="20"/>
            </w:pPr>
            <w:r>
              <w:rPr>
                <w:b/>
                <w:color w:val="FFFFFF"/>
              </w:rPr>
              <w:t xml:space="preserve">Perspectiva</w:t>
            </w:r>
          </w:p>
        </w:tc>
        <w:tc>
          <w:tcPr>
            <w:tcW w:w="0" w:type="auto"/>
            <w:shd w:val="clear" w:color="auto" w:fill="1F3864"/>
          </w:tcPr>
          <w:p>
            <w:pPr>
              <w:spacing w:after="20"/>
            </w:pPr>
            <w:r>
              <w:rPr>
                <w:b/>
                <w:color w:val="FFFFFF"/>
              </w:rPr>
              <w:t xml:space="preserve">Objetivo estratégico de emergencia (Escenario B)</w:t>
            </w:r>
          </w:p>
        </w:tc>
      </w:tr>
      <w:tr>
        <w:tc>
          <w:tcPr>
            <w:tcW w:w="0" w:type="auto"/>
          </w:tcPr>
          <w:p>
            <w:pPr>
              <w:spacing w:after="20"/>
            </w:pPr>
            <w:r>
              <w:rPr>
                <w:b/>
              </w:rPr>
              <w:t xml:space="preserve">Aprendizaje / Base</w:t>
            </w:r>
          </w:p>
        </w:tc>
        <w:tc>
          <w:tcPr>
            <w:tcW w:w="0" w:type="auto"/>
          </w:tcPr>
          <w:p>
            <w:pPr>
              <w:spacing w:after="20"/>
            </w:pPr>
            <w:r>
              <w:rPr>
                <w:b/>
              </w:rPr>
              <w:t xml:space="preserve">Reconvertir y proteger a la fuerza laboral</w:t>
            </w:r>
            <w:r>
              <w:t xml:space="preserve">: protocolos sanitarios, polifuncionalidad y teletrabajo en áreas de soporte para reducir ausentismo y costo, sin perder capacidad operativa.</w:t>
            </w:r>
          </w:p>
        </w:tc>
      </w:tr>
      <w:tr>
        <w:tc>
          <w:tcPr>
            <w:tcW w:w="0" w:type="auto"/>
          </w:tcPr>
          <w:p>
            <w:pPr>
              <w:spacing w:after="20"/>
            </w:pPr>
            <w:r>
              <w:rPr>
                <w:b/>
              </w:rPr>
              <w:t xml:space="preserve">Procesos Internos</w:t>
            </w:r>
          </w:p>
        </w:tc>
        <w:tc>
          <w:tcPr>
            <w:tcW w:w="0" w:type="auto"/>
          </w:tcPr>
          <w:p>
            <w:pPr>
              <w:spacing w:after="20"/>
            </w:pPr>
            <w:r>
              <w:rPr>
                <w:b/>
              </w:rPr>
              <w:t xml:space="preserve">Ajustar dinámicamente la oferta de transporte a la demanda real</w:t>
            </w:r>
            <w:r>
              <w:t xml:space="preserve"> (frecuencias y trenes en circulación) para minimizar costo por viaje sin romper el distanciamiento ni la continuidad del servicio esencial.</w:t>
            </w:r>
          </w:p>
        </w:tc>
      </w:tr>
      <w:tr>
        <w:tc>
          <w:tcPr>
            <w:tcW w:w="0" w:type="auto"/>
          </w:tcPr>
          <w:p>
            <w:pPr>
              <w:spacing w:after="20"/>
            </w:pPr>
            <w:r>
              <w:rPr>
                <w:b/>
              </w:rPr>
              <w:t xml:space="preserve">Cliente</w:t>
            </w:r>
          </w:p>
        </w:tc>
        <w:tc>
          <w:tcPr>
            <w:tcW w:w="0" w:type="auto"/>
          </w:tcPr>
          <w:p>
            <w:pPr>
              <w:spacing w:after="20"/>
            </w:pPr>
            <w:r>
              <w:rPr>
                <w:b/>
              </w:rPr>
              <w:t xml:space="preserve">Garantizar un viaje seguro y confiable</w:t>
            </w:r>
            <w:r>
              <w:t xml:space="preserve"> (sanitización, control de aforo, información en tiempo real) para conservar al usuario cautivo y preparar el regreso.</w:t>
            </w:r>
          </w:p>
        </w:tc>
      </w:tr>
      <w:tr>
        <w:tc>
          <w:tcPr>
            <w:tcW w:w="0" w:type="auto"/>
          </w:tcPr>
          <w:p>
            <w:pPr>
              <w:spacing w:after="20"/>
            </w:pPr>
            <w:r>
              <w:rPr>
                <w:b/>
              </w:rPr>
              <w:t xml:space="preserve">Financiera</w:t>
            </w:r>
          </w:p>
        </w:tc>
        <w:tc>
          <w:tcPr>
            <w:tcW w:w="0" w:type="auto"/>
          </w:tcPr>
          <w:p>
            <w:pPr>
              <w:spacing w:after="20"/>
            </w:pPr>
            <w:r>
              <w:rPr>
                <w:b/>
              </w:rPr>
              <w:t xml:space="preserve">Asegurar la liquidez (caja)</w:t>
            </w:r>
            <w:r>
              <w:t xml:space="preserve">: maximizar meses de runway, renegociar deuda y gestionar el aporte/subsidio estatal; relegar el EBITDA como meta.</w:t>
            </w:r>
          </w:p>
        </w:tc>
      </w:tr>
    </w:tbl>
    <w:p/>
    <w:p>
      <w:r>
        <w:rPr>
          <w:b/>
        </w:rPr>
        <w:t xml:space="preserve">Relato causa-efecto (bottom-up):</w:t>
      </w:r>
    </w:p>
    <w:p>
      <w:r>
        <w:t xml:space="preserve">*Si* protegemos y reconvertimos al personal (Aprendizaje), *entonces* podemos operar con menos ausentismo y ajustar la oferta con agilidad (Procesos); *si* alineamos frecuencias con la demanda real y sanitizamos, *entonces* bajamos el costo por viaje y mantenemos un servicio seguro y confiable (Cliente); *si* conservamos al usuario y contenemos el costo operativo, *entonces* reducimos el consumo de caja y hacemos sostenible el apoyo estatal (Financiera). La meta deja de ser "ganar" y pasa a ser </w:t>
      </w:r>
      <w:r>
        <w:rPr>
          <w:b/>
        </w:rPr>
        <w:t xml:space="preserve">"durar"</w:t>
      </w:r>
      <w:r>
        <w:t xml:space="preserve">.</w:t>
      </w:r>
    </w:p>
    <w:p>
      <w:pPr>
        <w:pStyle w:val="Heading2"/>
      </w:pPr>
      <w:r>
        <w:t xml:space="preserve">5.3 Definición de Métricas (4 pts)</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1800"/>
        <w:gridCol w:w="1800"/>
        <w:gridCol w:w="1800"/>
        <w:gridCol w:w="1800"/>
        <w:gridCol w:w="1800"/>
      </w:tblGrid>
      <w:tr>
        <w:tc>
          <w:tcPr>
            <w:tcW w:w="0" w:type="auto"/>
            <w:shd w:val="clear" w:color="auto" w:fill="1F3864"/>
          </w:tcPr>
          <w:p>
            <w:pPr>
              <w:spacing w:after="20"/>
            </w:pPr>
            <w:r>
              <w:rPr>
                <w:b/>
                <w:color w:val="FFFFFF"/>
              </w:rPr>
              <w:t xml:space="preserve">#</w:t>
            </w:r>
          </w:p>
        </w:tc>
        <w:tc>
          <w:tcPr>
            <w:tcW w:w="0" w:type="auto"/>
            <w:shd w:val="clear" w:color="auto" w:fill="1F3864"/>
          </w:tcPr>
          <w:p>
            <w:pPr>
              <w:spacing w:after="20"/>
            </w:pPr>
            <w:r>
              <w:rPr>
                <w:b/>
                <w:color w:val="FFFFFF"/>
              </w:rPr>
              <w:t xml:space="preserve">Perspectiva</w:t>
            </w:r>
          </w:p>
        </w:tc>
        <w:tc>
          <w:tcPr>
            <w:tcW w:w="0" w:type="auto"/>
            <w:shd w:val="clear" w:color="auto" w:fill="1F3864"/>
          </w:tcPr>
          <w:p>
            <w:pPr>
              <w:spacing w:after="20"/>
            </w:pPr>
            <w:r>
              <w:rPr>
                <w:b/>
                <w:color w:val="FFFFFF"/>
              </w:rPr>
              <w:t xml:space="preserve">Objetivo</w:t>
            </w:r>
          </w:p>
        </w:tc>
        <w:tc>
          <w:tcPr>
            <w:tcW w:w="0" w:type="auto"/>
            <w:shd w:val="clear" w:color="auto" w:fill="1F3864"/>
          </w:tcPr>
          <w:p>
            <w:pPr>
              <w:spacing w:after="20"/>
            </w:pPr>
            <w:r>
              <w:rPr>
                <w:b/>
                <w:color w:val="FFFFFF"/>
              </w:rPr>
              <w:t xml:space="preserve">KPI exacto</w:t>
            </w:r>
          </w:p>
        </w:tc>
        <w:tc>
          <w:tcPr>
            <w:tcW w:w="0" w:type="auto"/>
            <w:shd w:val="clear" w:color="auto" w:fill="1F3864"/>
          </w:tcPr>
          <w:p>
            <w:pPr>
              <w:spacing w:after="20"/>
            </w:pPr>
            <w:r>
              <w:rPr>
                <w:b/>
                <w:color w:val="FFFFFF"/>
              </w:rPr>
              <w:t xml:space="preserve">Tipo</w:t>
            </w:r>
          </w:p>
        </w:tc>
      </w:tr>
      <w:tr>
        <w:tc>
          <w:tcPr>
            <w:tcW w:w="0" w:type="auto"/>
          </w:tcPr>
          <w:p>
            <w:pPr>
              <w:spacing w:after="20"/>
            </w:pPr>
            <w:r>
              <w:t xml:space="preserve">B1</w:t>
            </w:r>
          </w:p>
        </w:tc>
        <w:tc>
          <w:tcPr>
            <w:tcW w:w="0" w:type="auto"/>
          </w:tcPr>
          <w:p>
            <w:pPr>
              <w:spacing w:after="20"/>
            </w:pPr>
            <w:r>
              <w:t xml:space="preserve">Aprendizaje/Base</w:t>
            </w:r>
          </w:p>
        </w:tc>
        <w:tc>
          <w:tcPr>
            <w:tcW w:w="0" w:type="auto"/>
          </w:tcPr>
          <w:p>
            <w:pPr>
              <w:spacing w:after="20"/>
            </w:pPr>
            <w:r>
              <w:t xml:space="preserve">Proteger/reconvertir la fuerza laboral</w:t>
            </w:r>
          </w:p>
        </w:tc>
        <w:tc>
          <w:tcPr>
            <w:tcW w:w="0" w:type="auto"/>
          </w:tcPr>
          <w:p>
            <w:pPr>
              <w:spacing w:after="20"/>
            </w:pPr>
            <w:r>
              <w:rPr>
                <w:b/>
              </w:rPr>
              <w:t xml:space="preserve">Tasa de ausentismo laboral (%)</w:t>
            </w:r>
            <w:r>
              <w:t xml:space="preserve"> y % de personal operativo disponible</w:t>
            </w:r>
          </w:p>
        </w:tc>
        <w:tc>
          <w:tcPr>
            <w:tcW w:w="0" w:type="auto"/>
          </w:tcPr>
          <w:p>
            <w:pPr>
              <w:spacing w:after="20"/>
            </w:pPr>
            <w:r>
              <w:rPr>
                <w:b/>
              </w:rPr>
              <w:t xml:space="preserve">Lead</w:t>
            </w:r>
            <w:r>
              <w:t xml:space="preserve"> (predice la capacidad de operar)</w:t>
            </w:r>
          </w:p>
        </w:tc>
      </w:tr>
      <w:tr>
        <w:tc>
          <w:tcPr>
            <w:tcW w:w="0" w:type="auto"/>
          </w:tcPr>
          <w:p>
            <w:pPr>
              <w:spacing w:after="20"/>
            </w:pPr>
            <w:r>
              <w:t xml:space="preserve">B2</w:t>
            </w:r>
          </w:p>
        </w:tc>
        <w:tc>
          <w:tcPr>
            <w:tcW w:w="0" w:type="auto"/>
          </w:tcPr>
          <w:p>
            <w:pPr>
              <w:spacing w:after="20"/>
            </w:pPr>
            <w:r>
              <w:t xml:space="preserve">Procesos</w:t>
            </w:r>
          </w:p>
        </w:tc>
        <w:tc>
          <w:tcPr>
            <w:tcW w:w="0" w:type="auto"/>
          </w:tcPr>
          <w:p>
            <w:pPr>
              <w:spacing w:after="20"/>
            </w:pPr>
            <w:r>
              <w:t xml:space="preserve">Ajustar oferta a demanda</w:t>
            </w:r>
          </w:p>
        </w:tc>
        <w:tc>
          <w:tcPr>
            <w:tcW w:w="0" w:type="auto"/>
          </w:tcPr>
          <w:p>
            <w:pPr>
              <w:spacing w:after="20"/>
            </w:pPr>
            <w:r>
              <w:rPr>
                <w:b/>
              </w:rPr>
              <w:t xml:space="preserve">Costo operativo por viaje validado (CLP/viaje)</w:t>
            </w:r>
            <w:r>
              <w:t xml:space="preserve"> o consumo de energía por km-tren útil</w:t>
            </w:r>
          </w:p>
        </w:tc>
        <w:tc>
          <w:tcPr>
            <w:tcW w:w="0" w:type="auto"/>
          </w:tcPr>
          <w:p>
            <w:pPr>
              <w:spacing w:after="20"/>
            </w:pPr>
            <w:r>
              <w:rPr>
                <w:b/>
              </w:rPr>
              <w:t xml:space="preserve">Lead</w:t>
            </w:r>
            <w:r>
              <w:t xml:space="preserve"> (operativo, controlable a diario)</w:t>
            </w:r>
          </w:p>
        </w:tc>
      </w:tr>
      <w:tr>
        <w:tc>
          <w:tcPr>
            <w:tcW w:w="0" w:type="auto"/>
          </w:tcPr>
          <w:p>
            <w:pPr>
              <w:spacing w:after="20"/>
            </w:pPr>
            <w:r>
              <w:t xml:space="preserve">B3</w:t>
            </w:r>
          </w:p>
        </w:tc>
        <w:tc>
          <w:tcPr>
            <w:tcW w:w="0" w:type="auto"/>
          </w:tcPr>
          <w:p>
            <w:pPr>
              <w:spacing w:after="20"/>
            </w:pPr>
            <w:r>
              <w:t xml:space="preserve">Cliente</w:t>
            </w:r>
          </w:p>
        </w:tc>
        <w:tc>
          <w:tcPr>
            <w:tcW w:w="0" w:type="auto"/>
          </w:tcPr>
          <w:p>
            <w:pPr>
              <w:spacing w:after="20"/>
            </w:pPr>
            <w:r>
              <w:t xml:space="preserve">Viaje seguro y confiable</w:t>
            </w:r>
          </w:p>
        </w:tc>
        <w:tc>
          <w:tcPr>
            <w:tcW w:w="0" w:type="auto"/>
          </w:tcPr>
          <w:p>
            <w:pPr>
              <w:spacing w:after="20"/>
            </w:pPr>
            <w:r>
              <w:rPr>
                <w:b/>
              </w:rPr>
              <w:t xml:space="preserve">Índice de cumplimiento de aforo/sanitización</w:t>
            </w:r>
            <w:r>
              <w:t xml:space="preserve"> y percepción de seguridad sanitaria</w:t>
            </w:r>
          </w:p>
        </w:tc>
        <w:tc>
          <w:tcPr>
            <w:tcW w:w="0" w:type="auto"/>
          </w:tcPr>
          <w:p>
            <w:pPr>
              <w:spacing w:after="20"/>
            </w:pPr>
            <w:r>
              <w:rPr>
                <w:b/>
              </w:rPr>
              <w:t xml:space="preserve">Lag</w:t>
            </w:r>
            <w:r>
              <w:t xml:space="preserve"> (resultado del protocolo)</w:t>
            </w:r>
          </w:p>
        </w:tc>
      </w:tr>
      <w:tr>
        <w:tc>
          <w:tcPr>
            <w:tcW w:w="0" w:type="auto"/>
          </w:tcPr>
          <w:p>
            <w:pPr>
              <w:spacing w:after="20"/>
            </w:pPr>
            <w:r>
              <w:t xml:space="preserve">B4</w:t>
            </w:r>
          </w:p>
        </w:tc>
        <w:tc>
          <w:tcPr>
            <w:tcW w:w="0" w:type="auto"/>
          </w:tcPr>
          <w:p>
            <w:pPr>
              <w:spacing w:after="20"/>
            </w:pPr>
            <w:r>
              <w:t xml:space="preserve">Financiera</w:t>
            </w:r>
          </w:p>
        </w:tc>
        <w:tc>
          <w:tcPr>
            <w:tcW w:w="0" w:type="auto"/>
          </w:tcPr>
          <w:p>
            <w:pPr>
              <w:spacing w:after="20"/>
            </w:pPr>
            <w:r>
              <w:t xml:space="preserve">Asegurar liquidez</w:t>
            </w:r>
          </w:p>
        </w:tc>
        <w:tc>
          <w:tcPr>
            <w:tcW w:w="0" w:type="auto"/>
          </w:tcPr>
          <w:p>
            <w:pPr>
              <w:spacing w:after="20"/>
            </w:pPr>
            <w:r>
              <w:rPr>
                <w:b/>
              </w:rPr>
              <w:t xml:space="preserve">Meses de caja disponibles (runway)</w:t>
            </w:r>
            <w:r>
              <w:t xml:space="preserve"> = Efectivo y equivalentes ÷ egresos fijos mensuales</w:t>
            </w:r>
          </w:p>
        </w:tc>
        <w:tc>
          <w:tcPr>
            <w:tcW w:w="0" w:type="auto"/>
          </w:tcPr>
          <w:p>
            <w:pPr>
              <w:spacing w:after="20"/>
            </w:pPr>
            <w:r>
              <w:rPr>
                <w:b/>
              </w:rPr>
              <w:t xml:space="preserve">Lag</w:t>
            </w:r>
            <w:r>
              <w:t xml:space="preserve"> financiero (resultado), monitoreo semanal</w:t>
            </w:r>
          </w:p>
        </w:tc>
      </w:tr>
    </w:tbl>
    <w:p/>
    <w:p>
      <w:pPr>
        <w:pStyle w:val="Heading2"/>
      </w:pPr>
      <w:r>
        <w:t xml:space="preserve">5.4 Ficha de Control Crítica (4 pts)</w:t>
      </w:r>
    </w:p>
    <w:p>
      <w:r>
        <w:t xml:space="preserve">Indicador </w:t>
      </w:r>
      <w:r>
        <w:rPr>
          <w:b/>
        </w:rPr>
        <w:t xml:space="preserve">Lead</w:t>
      </w:r>
      <w:r>
        <w:t xml:space="preserve"> más importante para revertir la crisis B (perspectiva de Procesos):</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500"/>
        <w:gridCol w:w="4500"/>
      </w:tblGrid>
      <w:tr>
        <w:tc>
          <w:tcPr>
            <w:tcW w:w="0" w:type="auto"/>
            <w:shd w:val="clear" w:color="auto" w:fill="1F3864"/>
          </w:tcPr>
          <w:p>
            <w:pPr>
              <w:spacing w:after="20"/>
            </w:pPr>
            <w:r>
              <w:rPr>
                <w:b/>
                <w:color w:val="FFFFFF"/>
              </w:rPr>
              <w:t xml:space="preserve">Campo</w:t>
            </w:r>
          </w:p>
        </w:tc>
        <w:tc>
          <w:tcPr>
            <w:tcW w:w="0" w:type="auto"/>
            <w:shd w:val="clear" w:color="auto" w:fill="1F3864"/>
          </w:tcPr>
          <w:p>
            <w:pPr>
              <w:spacing w:after="20"/>
            </w:pPr>
            <w:r>
              <w:rPr>
                <w:b/>
                <w:color w:val="FFFFFF"/>
              </w:rPr>
              <w:t xml:space="preserve">Definición</w:t>
            </w:r>
          </w:p>
        </w:tc>
      </w:tr>
      <w:tr>
        <w:tc>
          <w:tcPr>
            <w:tcW w:w="0" w:type="auto"/>
          </w:tcPr>
          <w:p>
            <w:pPr>
              <w:spacing w:after="20"/>
            </w:pPr>
            <w:r>
              <w:rPr>
                <w:b/>
              </w:rPr>
              <w:t xml:space="preserve">Nombre del indicador</w:t>
            </w:r>
          </w:p>
        </w:tc>
        <w:tc>
          <w:tcPr>
            <w:tcW w:w="0" w:type="auto"/>
          </w:tcPr>
          <w:p>
            <w:pPr>
              <w:spacing w:after="20"/>
            </w:pPr>
            <w:r>
              <w:t xml:space="preserve">Costo Operativo por Viaje Validado (eficiencia operativa por demanda real)</w:t>
            </w:r>
          </w:p>
        </w:tc>
      </w:tr>
      <w:tr>
        <w:tc>
          <w:tcPr>
            <w:tcW w:w="0" w:type="auto"/>
          </w:tcPr>
          <w:p>
            <w:pPr>
              <w:spacing w:after="20"/>
            </w:pPr>
            <w:r>
              <w:rPr>
                <w:b/>
              </w:rPr>
              <w:t xml:space="preserve">Perspectiva</w:t>
            </w:r>
          </w:p>
        </w:tc>
        <w:tc>
          <w:tcPr>
            <w:tcW w:w="0" w:type="auto"/>
          </w:tcPr>
          <w:p>
            <w:pPr>
              <w:spacing w:after="20"/>
            </w:pPr>
            <w:r>
              <w:t xml:space="preserve">Procesos Internos</w:t>
            </w:r>
          </w:p>
        </w:tc>
      </w:tr>
      <w:tr>
        <w:tc>
          <w:tcPr>
            <w:tcW w:w="0" w:type="auto"/>
          </w:tcPr>
          <w:p>
            <w:pPr>
              <w:spacing w:after="20"/>
            </w:pPr>
            <w:r>
              <w:rPr>
                <w:b/>
              </w:rPr>
              <w:t xml:space="preserve">Tipo</w:t>
            </w:r>
          </w:p>
        </w:tc>
        <w:tc>
          <w:tcPr>
            <w:tcW w:w="0" w:type="auto"/>
          </w:tcPr>
          <w:p>
            <w:pPr>
              <w:spacing w:after="20"/>
            </w:pPr>
            <w:r>
              <w:t xml:space="preserve">Lead Measure (predictivo/operativo)</w:t>
            </w:r>
          </w:p>
        </w:tc>
      </w:tr>
      <w:tr>
        <w:tc>
          <w:tcPr>
            <w:tcW w:w="0" w:type="auto"/>
          </w:tcPr>
          <w:p>
            <w:pPr>
              <w:spacing w:after="20"/>
            </w:pPr>
            <w:r>
              <w:rPr>
                <w:b/>
              </w:rPr>
              <w:t xml:space="preserve">Fórmula</w:t>
            </w:r>
          </w:p>
        </w:tc>
        <w:tc>
          <w:tcPr>
            <w:tcW w:w="0" w:type="auto"/>
          </w:tcPr>
          <w:p>
            <w:pPr>
              <w:spacing w:after="20"/>
            </w:pPr>
            <w:r>
              <w:t xml:space="preserve">Costos operativos directos del período (energía de tracción + personal operativo + insumos) ÷ N° de viajes validados del período</w:t>
            </w:r>
          </w:p>
        </w:tc>
      </w:tr>
      <w:tr>
        <w:tc>
          <w:tcPr>
            <w:tcW w:w="0" w:type="auto"/>
          </w:tcPr>
          <w:p>
            <w:pPr>
              <w:spacing w:after="20"/>
            </w:pPr>
            <w:r>
              <w:rPr>
                <w:b/>
              </w:rPr>
              <w:t xml:space="preserve">Frecuencia de medición</w:t>
            </w:r>
          </w:p>
        </w:tc>
        <w:tc>
          <w:tcPr>
            <w:tcW w:w="0" w:type="auto"/>
          </w:tcPr>
          <w:p>
            <w:pPr>
              <w:spacing w:after="20"/>
            </w:pPr>
            <w:r>
              <w:rPr>
                <w:b/>
              </w:rPr>
              <w:t xml:space="preserve">Semanal</w:t>
            </w:r>
            <w:r>
              <w:t xml:space="preserve"> (con tablero diario de validaciones y consumo energético)</w:t>
            </w:r>
          </w:p>
        </w:tc>
      </w:tr>
      <w:tr>
        <w:tc>
          <w:tcPr>
            <w:tcW w:w="0" w:type="auto"/>
          </w:tcPr>
          <w:p>
            <w:pPr>
              <w:spacing w:after="20"/>
            </w:pPr>
            <w:r>
              <w:rPr>
                <w:b/>
              </w:rPr>
              <w:t xml:space="preserve">Meta (realista)</w:t>
            </w:r>
          </w:p>
        </w:tc>
        <w:tc>
          <w:tcPr>
            <w:tcW w:w="0" w:type="auto"/>
          </w:tcPr>
          <w:p>
            <w:pPr>
              <w:spacing w:after="20"/>
            </w:pPr>
            <w:r>
              <w:t xml:space="preserve">Contener el costo por viaje dentro de un rango de gestión pese a la baja demanda: </w:t>
            </w:r>
            <w:r>
              <w:rPr>
                <w:b/>
              </w:rPr>
              <w:t xml:space="preserve">reducir el costo por km-tren ofertado en ≥ 15–20%</w:t>
            </w:r>
            <w:r>
              <w:t xml:space="preserve"> ajustando frecuencias a la demanda real, sin caer bajo el estándar de servicio esencial ni romper el aforo sanitario</w:t>
            </w:r>
          </w:p>
        </w:tc>
      </w:tr>
      <w:tr>
        <w:tc>
          <w:tcPr>
            <w:tcW w:w="0" w:type="auto"/>
          </w:tcPr>
          <w:p>
            <w:pPr>
              <w:spacing w:after="20"/>
            </w:pPr>
            <w:r>
              <w:rPr>
                <w:b/>
              </w:rPr>
              <w:t xml:space="preserve">Cargo responsable</w:t>
            </w:r>
          </w:p>
        </w:tc>
        <w:tc>
          <w:tcPr>
            <w:tcW w:w="0" w:type="auto"/>
          </w:tcPr>
          <w:p>
            <w:pPr>
              <w:spacing w:after="20"/>
            </w:pPr>
            <w:r>
              <w:t xml:space="preserve">Gerente de Operaciones (en coordinación con Gerencia de Finanzas/Tesorería)</w:t>
            </w:r>
          </w:p>
        </w:tc>
      </w:tr>
      <w:tr>
        <w:tc>
          <w:tcPr>
            <w:tcW w:w="0" w:type="auto"/>
          </w:tcPr>
          <w:p>
            <w:pPr>
              <w:spacing w:after="20"/>
            </w:pPr>
            <w:r>
              <w:rPr>
                <w:b/>
              </w:rPr>
              <w:t xml:space="preserve">Fuente del dato</w:t>
            </w:r>
          </w:p>
        </w:tc>
        <w:tc>
          <w:tcPr>
            <w:tcW w:w="0" w:type="auto"/>
          </w:tcPr>
          <w:p>
            <w:pPr>
              <w:spacing w:after="20"/>
            </w:pPr>
            <w:r>
              <w:t xml:space="preserve">Sistema de control de tráfico/operación + medición de consumo energético + datos de validación bip!</w:t>
            </w:r>
          </w:p>
        </w:tc>
      </w:tr>
    </w:tbl>
    <w:p/>
    <w:p>
      <w:pPr>
        <w:pStyle w:val="Quote"/>
      </w:pPr>
      <w:r>
        <w:t xml:space="preserve">Por qué este Lead y no el runway (B4): el runway es un </w:t>
      </w:r>
      <w:r>
        <w:rPr>
          <w:b/>
        </w:rPr>
        <w:t xml:space="preserve">resultado (Lag)</w:t>
      </w:r>
      <w:r>
        <w:t xml:space="preserve"> que llega tarde. La única palanca que el equipo operativo puede mover </w:t>
      </w:r>
      <w:r>
        <w:rPr>
          <w:b/>
        </w:rPr>
        <w:t xml:space="preserve">hoy</w:t>
      </w:r>
      <w:r>
        <w:t xml:space="preserve"> para frenar el consumo de caja es </w:t>
      </w:r>
      <w:r>
        <w:rPr>
          <w:b/>
        </w:rPr>
        <w:t xml:space="preserve">ajustar la oferta a la demanda</w:t>
      </w:r>
      <w:r>
        <w:t xml:space="preserve"> sin degradar el servicio esencial. Controlando el costo por viaje (Lead), se protege el runway (Lag).</w:t>
      </w:r>
    </w:p>
    <w:p>
      <w:pPr>
        <w:pStyle w:val="Heading2"/>
      </w:pPr>
      <w:r>
        <w:t xml:space="preserve">5.5 Iniciativa Ágil (4 pts)</w:t>
      </w:r>
    </w:p>
    <w:p>
      <w:r>
        <w:rPr>
          <w:b/>
        </w:rPr>
        <w:t xml:space="preserve">Proyecto "Oferta Dinámica COVID" (matching frecuencia–demanda en tiempo casi real).</w:t>
      </w:r>
    </w:p>
    <w:p>
      <w:pPr>
        <w:pStyle w:val="ListParagraph"/>
        <w:numPr>
          <w:ilvl w:val="0"/>
          <w:numId w:val="1"/>
        </w:numPr>
      </w:pPr>
      <w:r>
        <w:rPr>
          <w:b/>
        </w:rPr>
        <w:t xml:space="preserve">Qué:</w:t>
      </w:r>
      <w:r>
        <w:t xml:space="preserve"> ajustar el número de trenes en circulación y las frecuencias por línea y franja horaria </w:t>
      </w:r>
      <w:r>
        <w:rPr>
          <w:b/>
        </w:rPr>
        <w:t xml:space="preserve">según la demanda real medida</w:t>
      </w:r>
      <w:r>
        <w:t xml:space="preserve">, en lugar de operar con la malla pre-pandemia.</w:t>
      </w:r>
    </w:p>
    <w:p>
      <w:pPr>
        <w:pStyle w:val="ListParagraph"/>
        <w:numPr>
          <w:ilvl w:val="0"/>
          <w:numId w:val="1"/>
        </w:numPr>
      </w:pPr>
      <w:r>
        <w:rPr>
          <w:b/>
        </w:rPr>
        <w:t xml:space="preserve">Cómo (acción específica):</w:t>
      </w:r>
    </w:p>
    <w:p>
      <w:pPr>
        <w:pStyle w:val="ListParagraph"/>
        <w:numPr>
          <w:ilvl w:val="1"/>
          <w:numId w:val="2"/>
        </w:numPr>
      </w:pPr>
      <w:r>
        <w:rPr>
          <w:b/>
        </w:rPr>
        <w:t xml:space="preserve">Tablero diario de demanda:</w:t>
      </w:r>
      <w:r>
        <w:t xml:space="preserve"> consolidar validaciones bip! por estación/franja del día anterior y proyectar la demanda del día siguiente.</w:t>
      </w:r>
    </w:p>
    <w:p>
      <w:pPr>
        <w:pStyle w:val="ListParagraph"/>
        <w:numPr>
          <w:ilvl w:val="1"/>
          <w:numId w:val="2"/>
        </w:numPr>
      </w:pPr>
      <w:r>
        <w:rPr>
          <w:b/>
        </w:rPr>
        <w:t xml:space="preserve">Reglas de despacho escalonadas:</w:t>
      </w:r>
      <w:r>
        <w:t xml:space="preserve"> definir "modos de operación" (cuarentena estricta / transición / normalidad) con número objetivo de trenes y frecuencia por modo, conmutables en 24 horas.</w:t>
      </w:r>
    </w:p>
    <w:p>
      <w:pPr>
        <w:pStyle w:val="ListParagraph"/>
        <w:numPr>
          <w:ilvl w:val="1"/>
          <w:numId w:val="2"/>
        </w:numPr>
      </w:pPr>
      <w:r>
        <w:rPr>
          <w:b/>
        </w:rPr>
        <w:t xml:space="preserve">Respetar piso sanitario:</w:t>
      </w:r>
      <w:r>
        <w:t xml:space="preserve"> la reducción de frecuencia nunca puede subir el factor de carga por encima del aforo permitido (regla de seguridad que protege al cliente — responde de antemano a la "Asociación de Pasajeros").</w:t>
      </w:r>
    </w:p>
    <w:p>
      <w:pPr>
        <w:pStyle w:val="ListParagraph"/>
        <w:numPr>
          <w:ilvl w:val="1"/>
          <w:numId w:val="2"/>
        </w:numPr>
      </w:pPr>
      <w:r>
        <w:rPr>
          <w:b/>
        </w:rPr>
        <w:t xml:space="preserve">Gestión energética:</w:t>
      </w:r>
      <w:r>
        <w:t xml:space="preserve"> apagado/standby de equipos no esenciales en estaciones de baja demanda y optimización del consumo de tracción.</w:t>
      </w:r>
    </w:p>
    <w:p>
      <w:pPr>
        <w:pStyle w:val="ListParagraph"/>
        <w:numPr>
          <w:ilvl w:val="0"/>
          <w:numId w:val="1"/>
        </w:numPr>
      </w:pPr>
      <w:r>
        <w:rPr>
          <w:b/>
        </w:rPr>
        <w:t xml:space="preserve">Por qué asegura la meta del KPI:</w:t>
      </w:r>
      <w:r>
        <w:t xml:space="preserve"> ataca directamente el denominador y numerador del costo por viaje. Operar trenes vacíos a malla completa es la principal fuga de caja; alinear oferta con demanda reduce energía y desgaste sin dejar de ser servicio esencial, mejorando el KPI de la ficha 5.4 semana a semana.</w:t>
      </w:r>
    </w:p>
    <w:p>
      <w:pPr>
        <w:pBdr>
          <w:bottom w:val="single" w:sz="6" w:space="1" w:color="999999"/>
        </w:pBdr>
      </w:pPr>
    </w:p>
    <w:p>
      <w:pPr>
        <w:pStyle w:val="Heading1"/>
      </w:pPr>
      <w:r>
        <w:t xml:space="preserve">6. ESCENARIO C — Crisis de Seguridad y Evasión Masiva (2023–2024)</w:t>
      </w:r>
    </w:p>
    <w:p>
      <w:pPr>
        <w:pStyle w:val="Quote"/>
      </w:pPr>
      <w:r>
        <w:rPr>
          <w:b/>
        </w:rPr>
        <w:t xml:space="preserve">Contexto.</w:t>
      </w:r>
      <w:r>
        <w:t xml:space="preserve"> Superada la pandemia, la demanda regresa, pero con dos heridas nuevas: </w:t>
      </w:r>
      <w:r>
        <w:rPr>
          <w:b/>
        </w:rPr>
        <w:t xml:space="preserve">evasión tarifaria masiva</w:t>
      </w:r>
      <w:r>
        <w:t xml:space="preserve"> y </w:t>
      </w:r>
      <w:r>
        <w:rPr>
          <w:b/>
        </w:rPr>
        <w:t xml:space="preserve">comercio ambulante</w:t>
      </w:r>
      <w:r>
        <w:t xml:space="preserve"> que copa andenes y trenes, deteriorando la experiencia y la seguridad. La consigna #EvasiónMasiva de 2019 dejó una secuela cultural: saltar el torniquete se "normalizó". En el sistema de transporte público de Santiago la evasión es estructuralmente alta —en buses ha rondado históricamente el 25–28% e incluso más— y el escenario plantea un sistema con evasión </w:t>
      </w:r>
      <w:r>
        <w:rPr>
          <w:b/>
        </w:rPr>
        <w:t xml:space="preserve">superior al 40%</w:t>
      </w:r>
      <w:r>
        <w:t xml:space="preserve">. El foco pasa a </w:t>
      </w:r>
      <w:r>
        <w:rPr>
          <w:b/>
        </w:rPr>
        <w:t xml:space="preserve">recuperar el control territorial, la seguridad y frenar la hemorragia de ingresos</w:t>
      </w:r>
      <w:r>
        <w:t xml:space="preserve">. *(Fuentes: TRB/TRID sobre evasión en Transantiago; antecedente #EvasiónMasiva 2019.)*</w:t>
      </w:r>
    </w:p>
    <w:p>
      <w:pPr>
        <w:pStyle w:val="Quote"/>
      </w:pPr>
      <w:r>
        <w:rPr>
          <w:b/>
        </w:rPr>
        <w:t xml:space="preserve">Precisión honesta sobre la cifra de evasión:</w:t>
      </w:r>
      <w:r>
        <w:t xml:space="preserve"> históricamente la evasión *en Metro* (con torniquetes) ha sido mucho menor que en buses (cercana a 0% antes de 2019), mientras que la del </w:t>
      </w:r>
      <w:r>
        <w:rPr>
          <w:b/>
        </w:rPr>
        <w:t xml:space="preserve">sistema integrado RED (buses)</w:t>
      </w:r>
      <w:r>
        <w:t xml:space="preserve"> es la que alcanza y supera el 30–40%. El escenario habla del "sistema de transporte". En la defensa conviene distinguir: *evasión del sistema* (alta, &gt;40% en buses) vs *evasión específica de Metro* (creciente tras 2019, pero menor). </w:t>
      </w:r>
      <w:r>
        <w:rPr>
          <w:rFonts w:ascii="Consolas" w:hAnsi="Consolas"/>
        </w:rPr>
        <w:t xml:space="preserve">[VERIFICAR EN EERR / informe DTPM]</w:t>
      </w:r>
      <w:r>
        <w:t xml:space="preserve"> la tasa de evasión exacta del año y su efecto en ingresos.</w:t>
      </w:r>
    </w:p>
    <w:p>
      <w:pPr>
        <w:pStyle w:val="Heading2"/>
      </w:pPr>
      <w:r>
        <w:t xml:space="preserve">6.1 Auditoría Histórica (4 pts)</w:t>
      </w:r>
    </w:p>
    <w:p>
      <w:r>
        <w:rPr>
          <w:b/>
        </w:rPr>
        <w:t xml:space="preserve">a) Magnitud de la evasión (verificado en tendencia; cifra exacta a confirmar).</w:t>
      </w:r>
    </w:p>
    <w:p>
      <w:pPr>
        <w:pStyle w:val="ListParagraph"/>
        <w:numPr>
          <w:ilvl w:val="0"/>
          <w:numId w:val="1"/>
        </w:numPr>
      </w:pPr>
      <w:r>
        <w:t xml:space="preserve">La evasión del sistema de transporte de Santiago es una de las más altas del mundo; en buses se han medido tasas en torno a 25–30% y superiores. *(TRB/TRID; ResearchGate "Fare evasion".)*</w:t>
      </w:r>
    </w:p>
    <w:p>
      <w:pPr>
        <w:pStyle w:val="ListParagraph"/>
        <w:numPr>
          <w:ilvl w:val="0"/>
          <w:numId w:val="1"/>
        </w:numPr>
      </w:pPr>
      <w:r>
        <w:t xml:space="preserve">El escenario fija el supuesto de trabajo en </w:t>
      </w:r>
      <w:r>
        <w:rPr>
          <w:b/>
        </w:rPr>
        <w:t xml:space="preserve">&gt; 40%</w:t>
      </w:r>
      <w:r>
        <w:t xml:space="preserve"> para el sistema, con la evasión en Metro </w:t>
      </w:r>
      <w:r>
        <w:rPr>
          <w:b/>
        </w:rPr>
        <w:t xml:space="preserve">al alza</w:t>
      </w:r>
      <w:r>
        <w:t xml:space="preserve"> respecto del ~0% histórico, por puertas forzadas, "colarse" en torniquetes y validadores vandalizados.</w:t>
      </w:r>
    </w:p>
    <w:p>
      <w:pPr>
        <w:pStyle w:val="ListParagraph"/>
        <w:numPr>
          <w:ilvl w:val="0"/>
          <w:numId w:val="1"/>
        </w:numPr>
      </w:pPr>
      <w:r>
        <w:rPr>
          <w:rFonts w:ascii="Consolas" w:hAnsi="Consolas"/>
        </w:rPr>
        <w:t xml:space="preserve">[VERIFICAR EN EERR / DTPM]</w:t>
      </w:r>
      <w:r>
        <w:t xml:space="preserve"> Tasa de evasión del año en Metro y en el sistema; </w:t>
      </w:r>
      <w:r>
        <w:rPr>
          <w:b/>
        </w:rPr>
        <w:t xml:space="preserve">registrar el % oficial</w:t>
      </w:r>
      <w:r>
        <w:t xml:space="preserve">.</w:t>
      </w:r>
    </w:p>
    <w:p>
      <w:r>
        <w:rPr>
          <w:b/>
        </w:rPr>
        <w:t xml:space="preserve">b) Impacto en ingresos por pasajeros (a verificar en EERR 2023/2024).</w:t>
      </w:r>
    </w:p>
    <w:p>
      <w:pPr>
        <w:pStyle w:val="ListParagraph"/>
        <w:numPr>
          <w:ilvl w:val="0"/>
          <w:numId w:val="1"/>
        </w:numPr>
      </w:pPr>
      <w:r>
        <w:t xml:space="preserve">Cada punto de evasión es </w:t>
      </w:r>
      <w:r>
        <w:rPr>
          <w:b/>
        </w:rPr>
        <w:t xml:space="preserve">ingreso tarifario que no se percibe pese a prestar el servicio</w:t>
      </w:r>
      <w:r>
        <w:t xml:space="preserve"> (el tren igual circula y consume): es pérdida directa de margen.</w:t>
      </w:r>
    </w:p>
    <w:p>
      <w:pPr>
        <w:pStyle w:val="ListParagraph"/>
        <w:numPr>
          <w:ilvl w:val="0"/>
          <w:numId w:val="1"/>
        </w:numPr>
      </w:pPr>
      <w:r>
        <w:t xml:space="preserve">A diferencia de B, </w:t>
      </w:r>
      <w:r>
        <w:rPr>
          <w:b/>
        </w:rPr>
        <w:t xml:space="preserve">la demanda (viajes realizados) se recupera</w:t>
      </w:r>
      <w:r>
        <w:t xml:space="preserve">, pero </w:t>
      </w:r>
      <w:r>
        <w:rPr>
          <w:b/>
        </w:rPr>
        <w:t xml:space="preserve">una fracción creciente no paga</w:t>
      </w:r>
      <w:r>
        <w:t xml:space="preserve">: la brecha entre viajes-realizados y viajes-pagados se ensancha.</w:t>
      </w:r>
    </w:p>
    <w:p>
      <w:pPr>
        <w:pStyle w:val="ListParagraph"/>
        <w:numPr>
          <w:ilvl w:val="0"/>
          <w:numId w:val="1"/>
        </w:numPr>
      </w:pPr>
      <w:r>
        <w:rPr>
          <w:rFonts w:ascii="Consolas" w:hAnsi="Consolas"/>
        </w:rPr>
        <w:t xml:space="preserve">[VERIFICAR EN EERR]</w:t>
      </w:r>
      <w:r>
        <w:t xml:space="preserve"> Diferencia entre validaciones pagadas y demanda estimada, y su traducción en CLP de ingresos no percibidos.</w:t>
      </w:r>
    </w:p>
    <w:p>
      <w:r>
        <w:rPr>
          <w:b/>
        </w:rPr>
        <w:t xml:space="preserve">c) Impacto en EBITDA / línea final y en la experiencia (a verificar).</w:t>
      </w:r>
    </w:p>
    <w:p>
      <w:pPr>
        <w:pStyle w:val="ListParagraph"/>
        <w:numPr>
          <w:ilvl w:val="0"/>
          <w:numId w:val="1"/>
        </w:numPr>
      </w:pPr>
      <w:r>
        <w:t xml:space="preserve">La evasión deteriora el EBITDA por el lado de los ingresos; el comercio ambulante y la inseguridad </w:t>
      </w:r>
      <w:r>
        <w:rPr>
          <w:b/>
        </w:rPr>
        <w:t xml:space="preserve">aumentan costos</w:t>
      </w:r>
      <w:r>
        <w:t xml:space="preserve"> (seguridad, limpieza, mantención por vandalismo) y </w:t>
      </w:r>
      <w:r>
        <w:rPr>
          <w:b/>
        </w:rPr>
        <w:t xml:space="preserve">deterioran la percepción del cliente</w:t>
      </w:r>
      <w:r>
        <w:t xml:space="preserve">, lo que puede alejar al pasajero que sí paga (círculo vicioso).</w:t>
      </w:r>
    </w:p>
    <w:p>
      <w:pPr>
        <w:pStyle w:val="ListParagraph"/>
        <w:numPr>
          <w:ilvl w:val="0"/>
          <w:numId w:val="1"/>
        </w:numPr>
      </w:pPr>
      <w:r>
        <w:rPr>
          <w:rFonts w:ascii="Consolas" w:hAnsi="Consolas"/>
        </w:rPr>
        <w:t xml:space="preserve">[VERIFICAR EN EERR]</w:t>
      </w:r>
      <w:r>
        <w:t xml:space="preserve"> EBITDA 2023/2024 y resultado del ejercicio; gasto en seguridad y mantenimiento por vandalismo.</w:t>
      </w:r>
    </w:p>
    <w:p>
      <w:pPr>
        <w:pStyle w:val="Quote"/>
      </w:pPr>
      <w:r>
        <w:rPr>
          <w:b/>
        </w:rPr>
        <w:t xml:space="preserve">Mensaje para el jurado:</w:t>
      </w:r>
      <w:r>
        <w:t xml:space="preserve"> en C el problema no es el activo (A) ni la demanda (B): la demanda </w:t>
      </w:r>
      <w:r>
        <w:rPr>
          <w:b/>
        </w:rPr>
        <w:t xml:space="preserve">volvió</w:t>
      </w:r>
      <w:r>
        <w:t xml:space="preserve">. El problema es que </w:t>
      </w:r>
      <w:r>
        <w:rPr>
          <w:b/>
        </w:rPr>
        <w:t xml:space="preserve">el ingreso se fuga en la última milla del torniquete</w:t>
      </w:r>
      <w:r>
        <w:t xml:space="preserve"> y que la </w:t>
      </w:r>
      <w:r>
        <w:rPr>
          <w:b/>
        </w:rPr>
        <w:t xml:space="preserve">experiencia de viaje</w:t>
      </w:r>
      <w:r>
        <w:t xml:space="preserve"> se degrada. Es una crisis de </w:t>
      </w:r>
      <w:r>
        <w:rPr>
          <w:b/>
        </w:rPr>
        <w:t xml:space="preserve">control territorial y de procesos de recaudación/seguridad</w:t>
      </w:r>
      <w:r>
        <w:t xml:space="preserve">.</w:t>
      </w:r>
    </w:p>
    <w:p>
      <w:pPr>
        <w:pStyle w:val="Heading2"/>
      </w:pPr>
      <w:r>
        <w:t xml:space="preserve">6.2 El Pivot Estratégico (4 pts)</w:t>
      </w:r>
    </w:p>
    <w:p>
      <w:r>
        <w:rPr>
          <w:b/>
        </w:rPr>
        <w:t xml:space="preserve">Tema estratégico de emergencia: "Recuperar el control del torniquete y del andén: cobrar lo que se viaja y devolver un viaje seguro."</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500"/>
        <w:gridCol w:w="4500"/>
      </w:tblGrid>
      <w:tr>
        <w:tc>
          <w:tcPr>
            <w:tcW w:w="0" w:type="auto"/>
            <w:shd w:val="clear" w:color="auto" w:fill="1F3864"/>
          </w:tcPr>
          <w:p>
            <w:pPr>
              <w:spacing w:after="20"/>
            </w:pPr>
            <w:r>
              <w:rPr>
                <w:b/>
                <w:color w:val="FFFFFF"/>
              </w:rPr>
              <w:t xml:space="preserve">Perspectiva</w:t>
            </w:r>
          </w:p>
        </w:tc>
        <w:tc>
          <w:tcPr>
            <w:tcW w:w="0" w:type="auto"/>
            <w:shd w:val="clear" w:color="auto" w:fill="1F3864"/>
          </w:tcPr>
          <w:p>
            <w:pPr>
              <w:spacing w:after="20"/>
            </w:pPr>
            <w:r>
              <w:rPr>
                <w:b/>
                <w:color w:val="FFFFFF"/>
              </w:rPr>
              <w:t xml:space="preserve">Objetivo estratégico de emergencia (Escenario C)</w:t>
            </w:r>
          </w:p>
        </w:tc>
      </w:tr>
      <w:tr>
        <w:tc>
          <w:tcPr>
            <w:tcW w:w="0" w:type="auto"/>
          </w:tcPr>
          <w:p>
            <w:pPr>
              <w:spacing w:after="20"/>
            </w:pPr>
            <w:r>
              <w:rPr>
                <w:b/>
              </w:rPr>
              <w:t xml:space="preserve">Aprendizaje / Base</w:t>
            </w:r>
          </w:p>
        </w:tc>
        <w:tc>
          <w:tcPr>
            <w:tcW w:w="0" w:type="auto"/>
          </w:tcPr>
          <w:p>
            <w:pPr>
              <w:spacing w:after="20"/>
            </w:pPr>
            <w:r>
              <w:rPr>
                <w:b/>
              </w:rPr>
              <w:t xml:space="preserve">Profesionalizar y dotar de inteligencia al personal de seguridad y fiscalización</w:t>
            </w:r>
            <w:r>
              <w:t xml:space="preserve"> (formación, coordinación con autoridad, analítica de datos de evasión por estación).</w:t>
            </w:r>
          </w:p>
        </w:tc>
      </w:tr>
      <w:tr>
        <w:tc>
          <w:tcPr>
            <w:tcW w:w="0" w:type="auto"/>
          </w:tcPr>
          <w:p>
            <w:pPr>
              <w:spacing w:after="20"/>
            </w:pPr>
            <w:r>
              <w:rPr>
                <w:b/>
              </w:rPr>
              <w:t xml:space="preserve">Procesos Internos</w:t>
            </w:r>
          </w:p>
        </w:tc>
        <w:tc>
          <w:tcPr>
            <w:tcW w:w="0" w:type="auto"/>
          </w:tcPr>
          <w:p>
            <w:pPr>
              <w:spacing w:after="20"/>
            </w:pPr>
            <w:r>
              <w:rPr>
                <w:b/>
              </w:rPr>
              <w:t xml:space="preserve">Blindar el punto de pago y el control territorial</w:t>
            </w:r>
            <w:r>
              <w:t xml:space="preserve">: infraestructura antievasión, presencia disuasiva y despeje del comercio ambulante en estaciones críticas.</w:t>
            </w:r>
          </w:p>
        </w:tc>
      </w:tr>
      <w:tr>
        <w:tc>
          <w:tcPr>
            <w:tcW w:w="0" w:type="auto"/>
          </w:tcPr>
          <w:p>
            <w:pPr>
              <w:spacing w:after="20"/>
            </w:pPr>
            <w:r>
              <w:rPr>
                <w:b/>
              </w:rPr>
              <w:t xml:space="preserve">Cliente</w:t>
            </w:r>
          </w:p>
        </w:tc>
        <w:tc>
          <w:tcPr>
            <w:tcW w:w="0" w:type="auto"/>
          </w:tcPr>
          <w:p>
            <w:pPr>
              <w:spacing w:after="20"/>
            </w:pPr>
            <w:r>
              <w:rPr>
                <w:b/>
              </w:rPr>
              <w:t xml:space="preserve">Recuperar la percepción de seguridad y orden</w:t>
            </w:r>
            <w:r>
              <w:t xml:space="preserve"> del viaje, devolviendo dignidad y fluidez al usuario que paga.</w:t>
            </w:r>
          </w:p>
        </w:tc>
      </w:tr>
      <w:tr>
        <w:tc>
          <w:tcPr>
            <w:tcW w:w="0" w:type="auto"/>
          </w:tcPr>
          <w:p>
            <w:pPr>
              <w:spacing w:after="20"/>
            </w:pPr>
            <w:r>
              <w:rPr>
                <w:b/>
              </w:rPr>
              <w:t xml:space="preserve">Financiera</w:t>
            </w:r>
          </w:p>
        </w:tc>
        <w:tc>
          <w:tcPr>
            <w:tcW w:w="0" w:type="auto"/>
          </w:tcPr>
          <w:p>
            <w:pPr>
              <w:spacing w:after="20"/>
            </w:pPr>
            <w:r>
              <w:rPr>
                <w:b/>
              </w:rPr>
              <w:t xml:space="preserve">Frenar la fuga de ingresos</w:t>
            </w:r>
            <w:r>
              <w:t xml:space="preserve">: subir la tasa de pago efectivo y reducir el costo del vandalismo, recuperando margen sin alzas de tarifa impopulares.</w:t>
            </w:r>
          </w:p>
        </w:tc>
      </w:tr>
    </w:tbl>
    <w:p/>
    <w:p>
      <w:r>
        <w:rPr>
          <w:b/>
        </w:rPr>
        <w:t xml:space="preserve">Relato causa-efecto (bottom-up):</w:t>
      </w:r>
    </w:p>
    <w:p>
      <w:r>
        <w:t xml:space="preserve">*Si* formamos y equipamos con datos a fiscalizadores y seguridad (Aprendizaje), *entonces* podemos blindar torniquetes y controlar andenes en las estaciones donde más se evade (Procesos); *si* recuperamos el control del punto de pago y despejamos el comercio ambulante, *entonces* el usuario percibe un viaje más seguro y ordenado (Cliente); *si* aumenta la tasa de pago y baja el vandalismo, *entonces* recuperamos ingresos y margen sin subir la tarifa (Financiera). El foco es </w:t>
      </w:r>
      <w:r>
        <w:rPr>
          <w:b/>
        </w:rPr>
        <w:t xml:space="preserve">control territorial</w:t>
      </w:r>
      <w:r>
        <w:t xml:space="preserve"> y </w:t>
      </w:r>
      <w:r>
        <w:rPr>
          <w:b/>
        </w:rPr>
        <w:t xml:space="preserve">recaudación efectiva</w:t>
      </w:r>
      <w:r>
        <w:t xml:space="preserve">.</w:t>
      </w:r>
    </w:p>
    <w:p>
      <w:pPr>
        <w:pStyle w:val="Heading2"/>
      </w:pPr>
      <w:r>
        <w:t xml:space="preserve">6.3 Definición de Métricas (4 pts)</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1800"/>
        <w:gridCol w:w="1800"/>
        <w:gridCol w:w="1800"/>
        <w:gridCol w:w="1800"/>
        <w:gridCol w:w="1800"/>
      </w:tblGrid>
      <w:tr>
        <w:tc>
          <w:tcPr>
            <w:tcW w:w="0" w:type="auto"/>
            <w:shd w:val="clear" w:color="auto" w:fill="1F3864"/>
          </w:tcPr>
          <w:p>
            <w:pPr>
              <w:spacing w:after="20"/>
            </w:pPr>
            <w:r>
              <w:rPr>
                <w:b/>
                <w:color w:val="FFFFFF"/>
              </w:rPr>
              <w:t xml:space="preserve">#</w:t>
            </w:r>
          </w:p>
        </w:tc>
        <w:tc>
          <w:tcPr>
            <w:tcW w:w="0" w:type="auto"/>
            <w:shd w:val="clear" w:color="auto" w:fill="1F3864"/>
          </w:tcPr>
          <w:p>
            <w:pPr>
              <w:spacing w:after="20"/>
            </w:pPr>
            <w:r>
              <w:rPr>
                <w:b/>
                <w:color w:val="FFFFFF"/>
              </w:rPr>
              <w:t xml:space="preserve">Perspectiva</w:t>
            </w:r>
          </w:p>
        </w:tc>
        <w:tc>
          <w:tcPr>
            <w:tcW w:w="0" w:type="auto"/>
            <w:shd w:val="clear" w:color="auto" w:fill="1F3864"/>
          </w:tcPr>
          <w:p>
            <w:pPr>
              <w:spacing w:after="20"/>
            </w:pPr>
            <w:r>
              <w:rPr>
                <w:b/>
                <w:color w:val="FFFFFF"/>
              </w:rPr>
              <w:t xml:space="preserve">Objetivo</w:t>
            </w:r>
          </w:p>
        </w:tc>
        <w:tc>
          <w:tcPr>
            <w:tcW w:w="0" w:type="auto"/>
            <w:shd w:val="clear" w:color="auto" w:fill="1F3864"/>
          </w:tcPr>
          <w:p>
            <w:pPr>
              <w:spacing w:after="20"/>
            </w:pPr>
            <w:r>
              <w:rPr>
                <w:b/>
                <w:color w:val="FFFFFF"/>
              </w:rPr>
              <w:t xml:space="preserve">KPI exacto</w:t>
            </w:r>
          </w:p>
        </w:tc>
        <w:tc>
          <w:tcPr>
            <w:tcW w:w="0" w:type="auto"/>
            <w:shd w:val="clear" w:color="auto" w:fill="1F3864"/>
          </w:tcPr>
          <w:p>
            <w:pPr>
              <w:spacing w:after="20"/>
            </w:pPr>
            <w:r>
              <w:rPr>
                <w:b/>
                <w:color w:val="FFFFFF"/>
              </w:rPr>
              <w:t xml:space="preserve">Tipo</w:t>
            </w:r>
          </w:p>
        </w:tc>
      </w:tr>
      <w:tr>
        <w:tc>
          <w:tcPr>
            <w:tcW w:w="0" w:type="auto"/>
          </w:tcPr>
          <w:p>
            <w:pPr>
              <w:spacing w:after="20"/>
            </w:pPr>
            <w:r>
              <w:t xml:space="preserve">C1</w:t>
            </w:r>
          </w:p>
        </w:tc>
        <w:tc>
          <w:tcPr>
            <w:tcW w:w="0" w:type="auto"/>
          </w:tcPr>
          <w:p>
            <w:pPr>
              <w:spacing w:after="20"/>
            </w:pPr>
            <w:r>
              <w:t xml:space="preserve">Aprendizaje/Base</w:t>
            </w:r>
          </w:p>
        </w:tc>
        <w:tc>
          <w:tcPr>
            <w:tcW w:w="0" w:type="auto"/>
          </w:tcPr>
          <w:p>
            <w:pPr>
              <w:spacing w:after="20"/>
            </w:pPr>
            <w:r>
              <w:t xml:space="preserve">Inteligencia de fiscalización</w:t>
            </w:r>
          </w:p>
        </w:tc>
        <w:tc>
          <w:tcPr>
            <w:tcW w:w="0" w:type="auto"/>
          </w:tcPr>
          <w:p>
            <w:pPr>
              <w:spacing w:after="20"/>
            </w:pPr>
            <w:r>
              <w:rPr>
                <w:b/>
              </w:rPr>
              <w:t xml:space="preserve">N° de fiscalizaciones efectivas por turno</w:t>
            </w:r>
            <w:r>
              <w:t xml:space="preserve"> y cobertura de estaciones con analítica de evasión</w:t>
            </w:r>
          </w:p>
        </w:tc>
        <w:tc>
          <w:tcPr>
            <w:tcW w:w="0" w:type="auto"/>
          </w:tcPr>
          <w:p>
            <w:pPr>
              <w:spacing w:after="20"/>
            </w:pPr>
            <w:r>
              <w:rPr>
                <w:b/>
              </w:rPr>
              <w:t xml:space="preserve">Lead</w:t>
            </w:r>
            <w:r>
              <w:t xml:space="preserve"> (predictivo de la disuasión)</w:t>
            </w:r>
          </w:p>
        </w:tc>
      </w:tr>
      <w:tr>
        <w:tc>
          <w:tcPr>
            <w:tcW w:w="0" w:type="auto"/>
          </w:tcPr>
          <w:p>
            <w:pPr>
              <w:spacing w:after="20"/>
            </w:pPr>
            <w:r>
              <w:t xml:space="preserve">C2</w:t>
            </w:r>
          </w:p>
        </w:tc>
        <w:tc>
          <w:tcPr>
            <w:tcW w:w="0" w:type="auto"/>
          </w:tcPr>
          <w:p>
            <w:pPr>
              <w:spacing w:after="20"/>
            </w:pPr>
            <w:r>
              <w:t xml:space="preserve">Procesos</w:t>
            </w:r>
          </w:p>
        </w:tc>
        <w:tc>
          <w:tcPr>
            <w:tcW w:w="0" w:type="auto"/>
          </w:tcPr>
          <w:p>
            <w:pPr>
              <w:spacing w:after="20"/>
            </w:pPr>
            <w:r>
              <w:t xml:space="preserve">Blindar el pago / control territorial</w:t>
            </w:r>
          </w:p>
        </w:tc>
        <w:tc>
          <w:tcPr>
            <w:tcW w:w="0" w:type="auto"/>
          </w:tcPr>
          <w:p>
            <w:pPr>
              <w:spacing w:after="20"/>
            </w:pPr>
            <w:r>
              <w:rPr>
                <w:b/>
              </w:rPr>
              <w:t xml:space="preserve">Tasa de evasión por estación (%)</w:t>
            </w:r>
            <w:r>
              <w:t xml:space="preserve"> medida por conteo/sensores</w:t>
            </w:r>
          </w:p>
        </w:tc>
        <w:tc>
          <w:tcPr>
            <w:tcW w:w="0" w:type="auto"/>
          </w:tcPr>
          <w:p>
            <w:pPr>
              <w:spacing w:after="20"/>
            </w:pPr>
            <w:r>
              <w:rPr>
                <w:b/>
              </w:rPr>
              <w:t xml:space="preserve">Lead operativo / Lag local</w:t>
            </w:r>
            <w:r>
              <w:t xml:space="preserve"> (medible y accionable por estación)</w:t>
            </w:r>
          </w:p>
        </w:tc>
      </w:tr>
      <w:tr>
        <w:tc>
          <w:tcPr>
            <w:tcW w:w="0" w:type="auto"/>
          </w:tcPr>
          <w:p>
            <w:pPr>
              <w:spacing w:after="20"/>
            </w:pPr>
            <w:r>
              <w:t xml:space="preserve">C3</w:t>
            </w:r>
          </w:p>
        </w:tc>
        <w:tc>
          <w:tcPr>
            <w:tcW w:w="0" w:type="auto"/>
          </w:tcPr>
          <w:p>
            <w:pPr>
              <w:spacing w:after="20"/>
            </w:pPr>
            <w:r>
              <w:t xml:space="preserve">Cliente</w:t>
            </w:r>
          </w:p>
        </w:tc>
        <w:tc>
          <w:tcPr>
            <w:tcW w:w="0" w:type="auto"/>
          </w:tcPr>
          <w:p>
            <w:pPr>
              <w:spacing w:after="20"/>
            </w:pPr>
            <w:r>
              <w:t xml:space="preserve">Percepción de seguridad y orden</w:t>
            </w:r>
          </w:p>
        </w:tc>
        <w:tc>
          <w:tcPr>
            <w:tcW w:w="0" w:type="auto"/>
          </w:tcPr>
          <w:p>
            <w:pPr>
              <w:spacing w:after="20"/>
            </w:pPr>
            <w:r>
              <w:rPr>
                <w:b/>
              </w:rPr>
              <w:t xml:space="preserve">Índice de percepción de seguridad del usuario</w:t>
            </w:r>
            <w:r>
              <w:t xml:space="preserve"> (encuesta)</w:t>
            </w:r>
          </w:p>
        </w:tc>
        <w:tc>
          <w:tcPr>
            <w:tcW w:w="0" w:type="auto"/>
          </w:tcPr>
          <w:p>
            <w:pPr>
              <w:spacing w:after="20"/>
            </w:pPr>
            <w:r>
              <w:rPr>
                <w:b/>
              </w:rPr>
              <w:t xml:space="preserve">Lag</w:t>
            </w:r>
            <w:r>
              <w:t xml:space="preserve"> (resultado)</w:t>
            </w:r>
          </w:p>
        </w:tc>
      </w:tr>
      <w:tr>
        <w:tc>
          <w:tcPr>
            <w:tcW w:w="0" w:type="auto"/>
          </w:tcPr>
          <w:p>
            <w:pPr>
              <w:spacing w:after="20"/>
            </w:pPr>
            <w:r>
              <w:t xml:space="preserve">C4</w:t>
            </w:r>
          </w:p>
        </w:tc>
        <w:tc>
          <w:tcPr>
            <w:tcW w:w="0" w:type="auto"/>
          </w:tcPr>
          <w:p>
            <w:pPr>
              <w:spacing w:after="20"/>
            </w:pPr>
            <w:r>
              <w:t xml:space="preserve">Financiera</w:t>
            </w:r>
          </w:p>
        </w:tc>
        <w:tc>
          <w:tcPr>
            <w:tcW w:w="0" w:type="auto"/>
          </w:tcPr>
          <w:p>
            <w:pPr>
              <w:spacing w:after="20"/>
            </w:pPr>
            <w:r>
              <w:t xml:space="preserve">Frenar fuga de ingresos</w:t>
            </w:r>
          </w:p>
        </w:tc>
        <w:tc>
          <w:tcPr>
            <w:tcW w:w="0" w:type="auto"/>
          </w:tcPr>
          <w:p>
            <w:pPr>
              <w:spacing w:after="20"/>
            </w:pPr>
            <w:r>
              <w:rPr>
                <w:b/>
              </w:rPr>
              <w:t xml:space="preserve">Tasa de pago efectivo (%)</w:t>
            </w:r>
            <w:r>
              <w:t xml:space="preserve"> = viajes pagados ÷ viajes realizados, y CLP de ingresos recuperados</w:t>
            </w:r>
          </w:p>
        </w:tc>
        <w:tc>
          <w:tcPr>
            <w:tcW w:w="0" w:type="auto"/>
          </w:tcPr>
          <w:p>
            <w:pPr>
              <w:spacing w:after="20"/>
            </w:pPr>
            <w:r>
              <w:rPr>
                <w:b/>
              </w:rPr>
              <w:t xml:space="preserve">Lag</w:t>
            </w:r>
            <w:r>
              <w:t xml:space="preserve"> financiero (resultado)</w:t>
            </w:r>
          </w:p>
        </w:tc>
      </w:tr>
    </w:tbl>
    <w:p/>
    <w:p>
      <w:pPr>
        <w:pStyle w:val="Heading2"/>
      </w:pPr>
      <w:r>
        <w:t xml:space="preserve">6.4 Ficha de Control Crítica (4 pts)</w:t>
      </w:r>
    </w:p>
    <w:p>
      <w:r>
        <w:t xml:space="preserve">Indicador </w:t>
      </w:r>
      <w:r>
        <w:rPr>
          <w:b/>
        </w:rPr>
        <w:t xml:space="preserve">Lead</w:t>
      </w:r>
      <w:r>
        <w:t xml:space="preserve"> más importante para revertir la crisis C (perspectiva de Procesos / Aprendizaje):</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500"/>
        <w:gridCol w:w="4500"/>
      </w:tblGrid>
      <w:tr>
        <w:tc>
          <w:tcPr>
            <w:tcW w:w="0" w:type="auto"/>
            <w:shd w:val="clear" w:color="auto" w:fill="1F3864"/>
          </w:tcPr>
          <w:p>
            <w:pPr>
              <w:spacing w:after="20"/>
            </w:pPr>
            <w:r>
              <w:rPr>
                <w:b/>
                <w:color w:val="FFFFFF"/>
              </w:rPr>
              <w:t xml:space="preserve">Campo</w:t>
            </w:r>
          </w:p>
        </w:tc>
        <w:tc>
          <w:tcPr>
            <w:tcW w:w="0" w:type="auto"/>
            <w:shd w:val="clear" w:color="auto" w:fill="1F3864"/>
          </w:tcPr>
          <w:p>
            <w:pPr>
              <w:spacing w:after="20"/>
            </w:pPr>
            <w:r>
              <w:rPr>
                <w:b/>
                <w:color w:val="FFFFFF"/>
              </w:rPr>
              <w:t xml:space="preserve">Definición</w:t>
            </w:r>
          </w:p>
        </w:tc>
      </w:tr>
      <w:tr>
        <w:tc>
          <w:tcPr>
            <w:tcW w:w="0" w:type="auto"/>
          </w:tcPr>
          <w:p>
            <w:pPr>
              <w:spacing w:after="20"/>
            </w:pPr>
            <w:r>
              <w:rPr>
                <w:b/>
              </w:rPr>
              <w:t xml:space="preserve">Nombre del indicador</w:t>
            </w:r>
          </w:p>
        </w:tc>
        <w:tc>
          <w:tcPr>
            <w:tcW w:w="0" w:type="auto"/>
          </w:tcPr>
          <w:p>
            <w:pPr>
              <w:spacing w:after="20"/>
            </w:pPr>
            <w:r>
              <w:t xml:space="preserve">Cobertura de Fiscalización en Estaciones Críticas (control territorial del punto de pago)</w:t>
            </w:r>
          </w:p>
        </w:tc>
      </w:tr>
      <w:tr>
        <w:tc>
          <w:tcPr>
            <w:tcW w:w="0" w:type="auto"/>
          </w:tcPr>
          <w:p>
            <w:pPr>
              <w:spacing w:after="20"/>
            </w:pPr>
            <w:r>
              <w:rPr>
                <w:b/>
              </w:rPr>
              <w:t xml:space="preserve">Perspectiva</w:t>
            </w:r>
          </w:p>
        </w:tc>
        <w:tc>
          <w:tcPr>
            <w:tcW w:w="0" w:type="auto"/>
          </w:tcPr>
          <w:p>
            <w:pPr>
              <w:spacing w:after="20"/>
            </w:pPr>
            <w:r>
              <w:t xml:space="preserve">Procesos Internos (apalancada en Aprendizaje)</w:t>
            </w:r>
          </w:p>
        </w:tc>
      </w:tr>
      <w:tr>
        <w:tc>
          <w:tcPr>
            <w:tcW w:w="0" w:type="auto"/>
          </w:tcPr>
          <w:p>
            <w:pPr>
              <w:spacing w:after="20"/>
            </w:pPr>
            <w:r>
              <w:rPr>
                <w:b/>
              </w:rPr>
              <w:t xml:space="preserve">Tipo</w:t>
            </w:r>
          </w:p>
        </w:tc>
        <w:tc>
          <w:tcPr>
            <w:tcW w:w="0" w:type="auto"/>
          </w:tcPr>
          <w:p>
            <w:pPr>
              <w:spacing w:after="20"/>
            </w:pPr>
            <w:r>
              <w:t xml:space="preserve">Lead Measure (predictivo/operativo)</w:t>
            </w:r>
          </w:p>
        </w:tc>
      </w:tr>
      <w:tr>
        <w:tc>
          <w:tcPr>
            <w:tcW w:w="0" w:type="auto"/>
          </w:tcPr>
          <w:p>
            <w:pPr>
              <w:spacing w:after="20"/>
            </w:pPr>
            <w:r>
              <w:rPr>
                <w:b/>
              </w:rPr>
              <w:t xml:space="preserve">Fórmula</w:t>
            </w:r>
          </w:p>
        </w:tc>
        <w:tc>
          <w:tcPr>
            <w:tcW w:w="0" w:type="auto"/>
          </w:tcPr>
          <w:p>
            <w:pPr>
              <w:spacing w:after="20"/>
            </w:pPr>
            <w:r>
              <w:t xml:space="preserve">(N° de horas-fiscalizador desplegadas en estaciones críticas en el período) ÷ (N° de horas-objetivo definidas para esas estaciones) × 100. KPI espejo: % de torniquetes/accesos con barrera antievasión operativa</w:t>
            </w:r>
          </w:p>
        </w:tc>
      </w:tr>
      <w:tr>
        <w:tc>
          <w:tcPr>
            <w:tcW w:w="0" w:type="auto"/>
          </w:tcPr>
          <w:p>
            <w:pPr>
              <w:spacing w:after="20"/>
            </w:pPr>
            <w:r>
              <w:rPr>
                <w:b/>
              </w:rPr>
              <w:t xml:space="preserve">Frecuencia de medición</w:t>
            </w:r>
          </w:p>
        </w:tc>
        <w:tc>
          <w:tcPr>
            <w:tcW w:w="0" w:type="auto"/>
          </w:tcPr>
          <w:p>
            <w:pPr>
              <w:spacing w:after="20"/>
            </w:pPr>
            <w:r>
              <w:rPr>
                <w:b/>
              </w:rPr>
              <w:t xml:space="preserve">Diaria</w:t>
            </w:r>
            <w:r>
              <w:t xml:space="preserve"> (consolidado semanal en comité), por turno y por estación</w:t>
            </w:r>
          </w:p>
        </w:tc>
      </w:tr>
      <w:tr>
        <w:tc>
          <w:tcPr>
            <w:tcW w:w="0" w:type="auto"/>
          </w:tcPr>
          <w:p>
            <w:pPr>
              <w:spacing w:after="20"/>
            </w:pPr>
            <w:r>
              <w:rPr>
                <w:b/>
              </w:rPr>
              <w:t xml:space="preserve">Meta (realista)</w:t>
            </w:r>
          </w:p>
        </w:tc>
        <w:tc>
          <w:tcPr>
            <w:tcW w:w="0" w:type="auto"/>
          </w:tcPr>
          <w:p>
            <w:pPr>
              <w:spacing w:after="20"/>
            </w:pPr>
            <w:r>
              <w:t xml:space="preserve">Cubrir </w:t>
            </w:r>
            <w:r>
              <w:rPr>
                <w:b/>
              </w:rPr>
              <w:t xml:space="preserve">≥ 90% de las horas-objetivo</w:t>
            </w:r>
            <w:r>
              <w:t xml:space="preserve"> en las 20–30 estaciones de mayor evasión, apuntando a </w:t>
            </w:r>
            <w:r>
              <w:rPr>
                <w:b/>
              </w:rPr>
              <w:t xml:space="preserve">reducir la evasión en esas estaciones en ≥ 10 puntos porcentuales</w:t>
            </w:r>
            <w:r>
              <w:t xml:space="preserve"> en 6 meses</w:t>
            </w:r>
          </w:p>
        </w:tc>
      </w:tr>
      <w:tr>
        <w:tc>
          <w:tcPr>
            <w:tcW w:w="0" w:type="auto"/>
          </w:tcPr>
          <w:p>
            <w:pPr>
              <w:spacing w:after="20"/>
            </w:pPr>
            <w:r>
              <w:rPr>
                <w:b/>
              </w:rPr>
              <w:t xml:space="preserve">Cargo responsable</w:t>
            </w:r>
          </w:p>
        </w:tc>
        <w:tc>
          <w:tcPr>
            <w:tcW w:w="0" w:type="auto"/>
          </w:tcPr>
          <w:p>
            <w:pPr>
              <w:spacing w:after="20"/>
            </w:pPr>
            <w:r>
              <w:t xml:space="preserve">Gerente de Seguridad y Operaciones / Jefe de Fiscalización (coordinado con la autoridad de transporte)</w:t>
            </w:r>
          </w:p>
        </w:tc>
      </w:tr>
      <w:tr>
        <w:tc>
          <w:tcPr>
            <w:tcW w:w="0" w:type="auto"/>
          </w:tcPr>
          <w:p>
            <w:pPr>
              <w:spacing w:after="20"/>
            </w:pPr>
            <w:r>
              <w:rPr>
                <w:b/>
              </w:rPr>
              <w:t xml:space="preserve">Fuente del dato</w:t>
            </w:r>
          </w:p>
        </w:tc>
        <w:tc>
          <w:tcPr>
            <w:tcW w:w="0" w:type="auto"/>
          </w:tcPr>
          <w:p>
            <w:pPr>
              <w:spacing w:after="20"/>
            </w:pPr>
            <w:r>
              <w:t xml:space="preserve">Planilla de despliegue de turnos + sensores/conteo de evasión + estado de equipos antievasión (GMAO)</w:t>
            </w:r>
          </w:p>
        </w:tc>
      </w:tr>
    </w:tbl>
    <w:p/>
    <w:p>
      <w:pPr>
        <w:pStyle w:val="Quote"/>
      </w:pPr>
      <w:r>
        <w:t xml:space="preserve">Por qué este Lead: la tasa de evasión (C2/C4) es en gran parte un </w:t>
      </w:r>
      <w:r>
        <w:rPr>
          <w:b/>
        </w:rPr>
        <w:t xml:space="preserve">resultado</w:t>
      </w:r>
      <w:r>
        <w:t xml:space="preserve">. La palanca controlable hoy es </w:t>
      </w:r>
      <w:r>
        <w:rPr>
          <w:b/>
        </w:rPr>
        <w:t xml:space="preserve">cuánta presencia y control efectivo se despliega donde más se evade</w:t>
      </w:r>
      <w:r>
        <w:t xml:space="preserve">. La cobertura de fiscalización es el Lead que mueve la evasión (Lag).</w:t>
      </w:r>
    </w:p>
    <w:p>
      <w:pPr>
        <w:pStyle w:val="Heading2"/>
      </w:pPr>
      <w:r>
        <w:t xml:space="preserve">6.5 Iniciativa Ágil (4 pts)</w:t>
      </w:r>
    </w:p>
    <w:p>
      <w:r>
        <w:rPr>
          <w:b/>
        </w:rPr>
        <w:t xml:space="preserve">Proyecto "Estaciones Blindadas" (control territorial focalizado por datos).</w:t>
      </w:r>
    </w:p>
    <w:p>
      <w:pPr>
        <w:pStyle w:val="ListParagraph"/>
        <w:numPr>
          <w:ilvl w:val="0"/>
          <w:numId w:val="1"/>
        </w:numPr>
      </w:pPr>
      <w:r>
        <w:rPr>
          <w:b/>
        </w:rPr>
        <w:t xml:space="preserve">Qué:</w:t>
      </w:r>
      <w:r>
        <w:t xml:space="preserve"> intervención integral y focalizada en las estaciones del </w:t>
      </w:r>
      <w:r>
        <w:rPr>
          <w:b/>
        </w:rPr>
        <w:t xml:space="preserve">top de evasión</w:t>
      </w:r>
      <w:r>
        <w:t xml:space="preserve"> (priorización por datos), combinando infraestructura, presencia humana y despeje del comercio ambulante.</w:t>
      </w:r>
    </w:p>
    <w:p>
      <w:pPr>
        <w:pStyle w:val="ListParagraph"/>
        <w:numPr>
          <w:ilvl w:val="0"/>
          <w:numId w:val="1"/>
        </w:numPr>
      </w:pPr>
      <w:r>
        <w:rPr>
          <w:b/>
        </w:rPr>
        <w:t xml:space="preserve">Cómo (acción específica):</w:t>
      </w:r>
    </w:p>
    <w:p>
      <w:pPr>
        <w:pStyle w:val="ListParagraph"/>
        <w:numPr>
          <w:ilvl w:val="1"/>
          <w:numId w:val="2"/>
        </w:numPr>
      </w:pPr>
      <w:r>
        <w:rPr>
          <w:b/>
        </w:rPr>
        <w:t xml:space="preserve">Mapa de calor de evasión:</w:t>
      </w:r>
      <w:r>
        <w:t xml:space="preserve"> identificar por datos las 20–30 estaciones que concentran la mayor fuga, por franja horaria.</w:t>
      </w:r>
    </w:p>
    <w:p>
      <w:pPr>
        <w:pStyle w:val="ListParagraph"/>
        <w:numPr>
          <w:ilvl w:val="1"/>
          <w:numId w:val="2"/>
        </w:numPr>
      </w:pPr>
      <w:r>
        <w:rPr>
          <w:b/>
        </w:rPr>
        <w:t xml:space="preserve">Blindaje físico del acceso:</w:t>
      </w:r>
      <w:r>
        <w:t xml:space="preserve"> reparar/reforzar torniquetes vandalizados e instalar barreras antievasión (puertas más altas) en esos accesos prioritarios.</w:t>
      </w:r>
    </w:p>
    <w:p>
      <w:pPr>
        <w:pStyle w:val="ListParagraph"/>
        <w:numPr>
          <w:ilvl w:val="1"/>
          <w:numId w:val="2"/>
        </w:numPr>
      </w:pPr>
      <w:r>
        <w:rPr>
          <w:b/>
        </w:rPr>
        <w:t xml:space="preserve">Despliegue concentrado:</w:t>
      </w:r>
      <w:r>
        <w:t xml:space="preserve"> asignar fiscalizadores/seguridad a esas estaciones en las franjas de mayor evasión (no repartir el recurso de forma plana), coordinado con la autoridad para el comercio ambulante en exteriores/andenes.</w:t>
      </w:r>
    </w:p>
    <w:p>
      <w:pPr>
        <w:pStyle w:val="ListParagraph"/>
        <w:numPr>
          <w:ilvl w:val="1"/>
          <w:numId w:val="2"/>
        </w:numPr>
      </w:pPr>
      <w:r>
        <w:rPr>
          <w:b/>
        </w:rPr>
        <w:t xml:space="preserve">Cierre del círculo con datos:</w:t>
      </w:r>
      <w:r>
        <w:t xml:space="preserve"> medir diariamente la evasión por estación intervenida y rotar el despliegue según resultados (gestión adaptativa).</w:t>
      </w:r>
    </w:p>
    <w:p>
      <w:pPr>
        <w:pStyle w:val="ListParagraph"/>
        <w:numPr>
          <w:ilvl w:val="0"/>
          <w:numId w:val="1"/>
        </w:numPr>
      </w:pPr>
      <w:r>
        <w:rPr>
          <w:b/>
        </w:rPr>
        <w:t xml:space="preserve">Por qué asegura la meta del KPI:</w:t>
      </w:r>
      <w:r>
        <w:t xml:space="preserve"> concentra un recurso escaso (fiscalizadores, equipos) donde el retorno es mayor, elevando la cobertura efectiva (KPI de la ficha 6.4) en las estaciones que explican la mayor parte de la pérdida, lo que se traduce en recuperación de ingresos sin alzas tarifarias.</w:t>
      </w:r>
    </w:p>
    <w:p>
      <w:pPr>
        <w:pBdr>
          <w:bottom w:val="single" w:sz="6" w:space="1" w:color="999999"/>
        </w:pBdr>
      </w:pPr>
    </w:p>
    <w:p>
      <w:pPr>
        <w:pStyle w:val="Heading1"/>
      </w:pPr>
      <w:r>
        <w:t xml:space="preserve">7. Cuadro Comparativo de los Tres Pivotes</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2250"/>
        <w:gridCol w:w="2250"/>
        <w:gridCol w:w="2250"/>
        <w:gridCol w:w="2250"/>
      </w:tblGrid>
      <w:tr>
        <w:tc>
          <w:tcPr>
            <w:tcW w:w="0" w:type="auto"/>
            <w:shd w:val="clear" w:color="auto" w:fill="1F3864"/>
          </w:tcPr>
          <w:p>
            <w:pPr>
              <w:spacing w:after="20"/>
            </w:pPr>
            <w:r>
              <w:rPr>
                <w:b/>
                <w:color w:val="FFFFFF"/>
              </w:rPr>
              <w:t xml:space="preserve">Dimensión</w:t>
            </w:r>
          </w:p>
        </w:tc>
        <w:tc>
          <w:tcPr>
            <w:tcW w:w="0" w:type="auto"/>
            <w:shd w:val="clear" w:color="auto" w:fill="1F3864"/>
          </w:tcPr>
          <w:p>
            <w:pPr>
              <w:spacing w:after="20"/>
            </w:pPr>
            <w:r>
              <w:rPr>
                <w:b/>
                <w:color w:val="FFFFFF"/>
              </w:rPr>
              <w:t xml:space="preserve">A — Infraestructura (2019)</w:t>
            </w:r>
          </w:p>
        </w:tc>
        <w:tc>
          <w:tcPr>
            <w:tcW w:w="0" w:type="auto"/>
            <w:shd w:val="clear" w:color="auto" w:fill="1F3864"/>
          </w:tcPr>
          <w:p>
            <w:pPr>
              <w:spacing w:after="20"/>
            </w:pPr>
            <w:r>
              <w:rPr>
                <w:b/>
                <w:color w:val="FFFFFF"/>
              </w:rPr>
              <w:t xml:space="preserve">B — Demanda/Liquidez (2020–21)</w:t>
            </w:r>
          </w:p>
        </w:tc>
        <w:tc>
          <w:tcPr>
            <w:tcW w:w="0" w:type="auto"/>
            <w:shd w:val="clear" w:color="auto" w:fill="1F3864"/>
          </w:tcPr>
          <w:p>
            <w:pPr>
              <w:spacing w:after="20"/>
            </w:pPr>
            <w:r>
              <w:rPr>
                <w:b/>
                <w:color w:val="FFFFFF"/>
              </w:rPr>
              <w:t xml:space="preserve">C — Evasión/Seguridad (2023–24)</w:t>
            </w:r>
          </w:p>
        </w:tc>
      </w:tr>
      <w:tr>
        <w:tc>
          <w:tcPr>
            <w:tcW w:w="0" w:type="auto"/>
          </w:tcPr>
          <w:p>
            <w:pPr>
              <w:spacing w:after="20"/>
            </w:pPr>
            <w:r>
              <w:rPr>
                <w:b/>
              </w:rPr>
              <w:t xml:space="preserve">Qué se rompe</w:t>
            </w:r>
          </w:p>
        </w:tc>
        <w:tc>
          <w:tcPr>
            <w:tcW w:w="0" w:type="auto"/>
          </w:tcPr>
          <w:p>
            <w:pPr>
              <w:spacing w:after="20"/>
            </w:pPr>
            <w:r>
              <w:t xml:space="preserve">El activo físico (la red)</w:t>
            </w:r>
          </w:p>
        </w:tc>
        <w:tc>
          <w:tcPr>
            <w:tcW w:w="0" w:type="auto"/>
          </w:tcPr>
          <w:p>
            <w:pPr>
              <w:spacing w:after="20"/>
            </w:pPr>
            <w:r>
              <w:t xml:space="preserve">La demanda (la caja)</w:t>
            </w:r>
          </w:p>
        </w:tc>
        <w:tc>
          <w:tcPr>
            <w:tcW w:w="0" w:type="auto"/>
          </w:tcPr>
          <w:p>
            <w:pPr>
              <w:spacing w:after="20"/>
            </w:pPr>
            <w:r>
              <w:t xml:space="preserve">El control del ingreso y la experiencia</w:t>
            </w:r>
          </w:p>
        </w:tc>
      </w:tr>
      <w:tr>
        <w:tc>
          <w:tcPr>
            <w:tcW w:w="0" w:type="auto"/>
          </w:tcPr>
          <w:p>
            <w:pPr>
              <w:spacing w:after="20"/>
            </w:pPr>
            <w:r>
              <w:rPr>
                <w:b/>
              </w:rPr>
              <w:t xml:space="preserve">Objetivo financiero</w:t>
            </w:r>
          </w:p>
        </w:tc>
        <w:tc>
          <w:tcPr>
            <w:tcW w:w="0" w:type="auto"/>
          </w:tcPr>
          <w:p>
            <w:pPr>
              <w:spacing w:after="20"/>
            </w:pPr>
            <w:r>
              <w:t xml:space="preserve">Preservar solvencia y financiar reconstrucción</w:t>
            </w:r>
          </w:p>
        </w:tc>
        <w:tc>
          <w:tcPr>
            <w:tcW w:w="0" w:type="auto"/>
          </w:tcPr>
          <w:p>
            <w:pPr>
              <w:spacing w:after="20"/>
            </w:pPr>
            <w:r>
              <w:t xml:space="preserve">Sobrevivir en caja (runway)</w:t>
            </w:r>
          </w:p>
        </w:tc>
        <w:tc>
          <w:tcPr>
            <w:tcW w:w="0" w:type="auto"/>
          </w:tcPr>
          <w:p>
            <w:pPr>
              <w:spacing w:after="20"/>
            </w:pPr>
            <w:r>
              <w:t xml:space="preserve">Frenar fuga de ingresos / recuperar margen</w:t>
            </w:r>
          </w:p>
        </w:tc>
      </w:tr>
      <w:tr>
        <w:tc>
          <w:tcPr>
            <w:tcW w:w="0" w:type="auto"/>
          </w:tcPr>
          <w:p>
            <w:pPr>
              <w:spacing w:after="20"/>
            </w:pPr>
            <w:r>
              <w:rPr>
                <w:b/>
              </w:rPr>
              <w:t xml:space="preserve">Muere el objetivo de…</w:t>
            </w:r>
          </w:p>
        </w:tc>
        <w:tc>
          <w:tcPr>
            <w:tcW w:w="0" w:type="auto"/>
          </w:tcPr>
          <w:p>
            <w:pPr>
              <w:spacing w:after="20"/>
            </w:pPr>
            <w:r>
              <w:t xml:space="preserve">Crecimiento de red</w:t>
            </w:r>
          </w:p>
        </w:tc>
        <w:tc>
          <w:tcPr>
            <w:tcW w:w="0" w:type="auto"/>
          </w:tcPr>
          <w:p>
            <w:pPr>
              <w:spacing w:after="20"/>
            </w:pPr>
            <w:r>
              <w:t xml:space="preserve">EBITDA positivo</w:t>
            </w:r>
          </w:p>
        </w:tc>
        <w:tc>
          <w:tcPr>
            <w:tcW w:w="0" w:type="auto"/>
          </w:tcPr>
          <w:p>
            <w:pPr>
              <w:spacing w:after="20"/>
            </w:pPr>
            <w:r>
              <w:t xml:space="preserve">"Evasión cero pasiva" / orden</w:t>
            </w:r>
          </w:p>
        </w:tc>
      </w:tr>
      <w:tr>
        <w:tc>
          <w:tcPr>
            <w:tcW w:w="0" w:type="auto"/>
          </w:tcPr>
          <w:p>
            <w:pPr>
              <w:spacing w:after="20"/>
            </w:pPr>
            <w:r>
              <w:rPr>
                <w:b/>
              </w:rPr>
              <w:t xml:space="preserve">KPI Lead crítico</w:t>
            </w:r>
          </w:p>
        </w:tc>
        <w:tc>
          <w:tcPr>
            <w:tcW w:w="0" w:type="auto"/>
          </w:tcPr>
          <w:p>
            <w:pPr>
              <w:spacing w:after="20"/>
            </w:pPr>
            <w:r>
              <w:t xml:space="preserve">Estaciones reabiertas/semana</w:t>
            </w:r>
          </w:p>
        </w:tc>
        <w:tc>
          <w:tcPr>
            <w:tcW w:w="0" w:type="auto"/>
          </w:tcPr>
          <w:p>
            <w:pPr>
              <w:spacing w:after="20"/>
            </w:pPr>
            <w:r>
              <w:t xml:space="preserve">Costo operativo por viaje validado</w:t>
            </w:r>
          </w:p>
        </w:tc>
        <w:tc>
          <w:tcPr>
            <w:tcW w:w="0" w:type="auto"/>
          </w:tcPr>
          <w:p>
            <w:pPr>
              <w:spacing w:after="20"/>
            </w:pPr>
            <w:r>
              <w:t xml:space="preserve">Cobertura de fiscalización en estaciones críticas</w:t>
            </w:r>
          </w:p>
        </w:tc>
      </w:tr>
      <w:tr>
        <w:tc>
          <w:tcPr>
            <w:tcW w:w="0" w:type="auto"/>
          </w:tcPr>
          <w:p>
            <w:pPr>
              <w:spacing w:after="20"/>
            </w:pPr>
            <w:r>
              <w:rPr>
                <w:b/>
              </w:rPr>
              <w:t xml:space="preserve">Iniciativa ágil</w:t>
            </w:r>
          </w:p>
        </w:tc>
        <w:tc>
          <w:tcPr>
            <w:tcW w:w="0" w:type="auto"/>
          </w:tcPr>
          <w:p>
            <w:pPr>
              <w:spacing w:after="20"/>
            </w:pPr>
            <w:r>
              <w:t xml:space="preserve">Estaciones Modulares 72h</w:t>
            </w:r>
          </w:p>
        </w:tc>
        <w:tc>
          <w:tcPr>
            <w:tcW w:w="0" w:type="auto"/>
          </w:tcPr>
          <w:p>
            <w:pPr>
              <w:spacing w:after="20"/>
            </w:pPr>
            <w:r>
              <w:t xml:space="preserve">Oferta Dinámica COVID</w:t>
            </w:r>
          </w:p>
        </w:tc>
        <w:tc>
          <w:tcPr>
            <w:tcW w:w="0" w:type="auto"/>
          </w:tcPr>
          <w:p>
            <w:pPr>
              <w:spacing w:after="20"/>
            </w:pPr>
            <w:r>
              <w:t xml:space="preserve">Estaciones Blindadas (por datos)</w:t>
            </w:r>
          </w:p>
        </w:tc>
      </w:tr>
      <w:tr>
        <w:tc>
          <w:tcPr>
            <w:tcW w:w="0" w:type="auto"/>
          </w:tcPr>
          <w:p>
            <w:pPr>
              <w:spacing w:after="20"/>
            </w:pPr>
            <w:r>
              <w:rPr>
                <w:b/>
              </w:rPr>
              <w:t xml:space="preserve">Riesgo si falla</w:t>
            </w:r>
          </w:p>
        </w:tc>
        <w:tc>
          <w:tcPr>
            <w:tcW w:w="0" w:type="auto"/>
          </w:tcPr>
          <w:p>
            <w:pPr>
              <w:spacing w:after="20"/>
            </w:pPr>
            <w:r>
              <w:t xml:space="preserve">Quiebra patrimonial / red inservible</w:t>
            </w:r>
          </w:p>
        </w:tc>
        <w:tc>
          <w:tcPr>
            <w:tcW w:w="0" w:type="auto"/>
          </w:tcPr>
          <w:p>
            <w:pPr>
              <w:spacing w:after="20"/>
            </w:pPr>
            <w:r>
              <w:t xml:space="preserve">Insolvencia por iliquidez</w:t>
            </w:r>
          </w:p>
        </w:tc>
        <w:tc>
          <w:tcPr>
            <w:tcW w:w="0" w:type="auto"/>
          </w:tcPr>
          <w:p>
            <w:pPr>
              <w:spacing w:after="20"/>
            </w:pPr>
            <w:r>
              <w:t xml:space="preserve">Espiral evasión → menos ingreso → peor servicio → más evasión</w:t>
            </w:r>
          </w:p>
        </w:tc>
      </w:tr>
    </w:tbl>
    <w:p/>
    <w:p>
      <w:pPr>
        <w:pStyle w:val="Quote"/>
      </w:pPr>
      <w:r>
        <w:rPr>
          <w:b/>
        </w:rPr>
        <w:t xml:space="preserve">Hilo conductor del BSC:</w:t>
      </w:r>
      <w:r>
        <w:t xml:space="preserve"> en los tres casos se mantiene la </w:t>
      </w:r>
      <w:r>
        <w:rPr>
          <w:b/>
        </w:rPr>
        <w:t xml:space="preserve">lógica causa-efecto bottom-up</w:t>
      </w:r>
      <w:r>
        <w:t xml:space="preserve"> (Aprendizaje → Procesos → Cliente → Financiera) y la </w:t>
      </w:r>
      <w:r>
        <w:rPr>
          <w:b/>
        </w:rPr>
        <w:t xml:space="preserve">disciplina Lead/Lag</w:t>
      </w:r>
      <w:r>
        <w:t xml:space="preserve">: el equipo controla un Lead operativo (reapertura, costo/viaje, fiscalización) que arrastra los Lag de resultado (caja, EBITDA, ingresos). Cambia la </w:t>
      </w:r>
      <w:r>
        <w:rPr>
          <w:b/>
        </w:rPr>
        <w:t xml:space="preserve">meta</w:t>
      </w:r>
      <w:r>
        <w:t xml:space="preserve"> de la cúspide financiera —de *crecer* a *sobrevivir* a *recuperar*— pero no la </w:t>
      </w:r>
      <w:r>
        <w:rPr>
          <w:b/>
        </w:rPr>
        <w:t xml:space="preserve">mecánica</w:t>
      </w:r>
      <w:r>
        <w:t xml:space="preserve"> del sistema de control.</w:t>
      </w:r>
    </w:p>
    <w:p>
      <w:pPr>
        <w:pBdr>
          <w:bottom w:val="single" w:sz="6" w:space="1" w:color="999999"/>
        </w:pBdr>
      </w:pPr>
    </w:p>
    <w:p>
      <w:pPr>
        <w:pStyle w:val="Heading1"/>
      </w:pPr>
      <w:r>
        <w:t xml:space="preserve">8. Preparación para la Defensa "Shark Tank" (40 puntos)</w:t>
      </w:r>
    </w:p>
    <w:p>
      <w:r>
        <w:t xml:space="preserve">La nota presencial se divide en </w:t>
      </w:r>
      <w:r>
        <w:rPr>
          <w:b/>
        </w:rPr>
        <w:t xml:space="preserve">Defensa del grupo expositor (20 pts)</w:t>
      </w:r>
      <w:r>
        <w:t xml:space="preserve"> y </w:t>
      </w:r>
      <w:r>
        <w:rPr>
          <w:b/>
        </w:rPr>
        <w:t xml:space="preserve">Calidad de la interacción como jurado (20 pts)</w:t>
      </w:r>
      <w:r>
        <w:t xml:space="preserve">. Aquí está el material para ambos frentes y para los tres escenarios (recuerden: el escenario se sortea en vivo, hay que dominar los tres en 8 minutos de pitch + 5 de fuego cruzado).</w:t>
      </w:r>
    </w:p>
    <w:p>
      <w:pPr>
        <w:pStyle w:val="Heading2"/>
      </w:pPr>
      <w:r>
        <w:t xml:space="preserve">8.1 Estructura del Pitch de 8 minutos (plantilla reutilizable)</w:t>
      </w:r>
    </w:p>
    <w:p>
      <w:pPr>
        <w:pStyle w:val="ListParagraph"/>
        <w:numPr>
          <w:ilvl w:val="0"/>
          <w:numId w:val="2"/>
        </w:numPr>
      </w:pPr>
      <w:r>
        <w:rPr>
          <w:b/>
        </w:rPr>
        <w:t xml:space="preserve">(0:00–1:00) El golpe.</w:t>
      </w:r>
      <w:r>
        <w:t xml:space="preserve"> Nombrar el Cisne Negro y la cifra de impacto verificada (A: ~80 estaciones, US$300–380M; B: caída de afluencia ~50%; C: evasión &gt;40% sistema).</w:t>
      </w:r>
    </w:p>
    <w:p>
      <w:pPr>
        <w:pStyle w:val="ListParagraph"/>
        <w:numPr>
          <w:ilvl w:val="0"/>
          <w:numId w:val="2"/>
        </w:numPr>
      </w:pPr>
      <w:r>
        <w:rPr>
          <w:b/>
        </w:rPr>
        <w:t xml:space="preserve">(1:00–2:30) El pivote del BSC.</w:t>
      </w:r>
      <w:r>
        <w:t xml:space="preserve"> "El objetivo X muere; el nuevo norte es Y". Mostrar el mapa estratégico de emergencia (4 perspectivas) y el relato causa-efecto bottom-up.</w:t>
      </w:r>
    </w:p>
    <w:p>
      <w:pPr>
        <w:pStyle w:val="ListParagraph"/>
        <w:numPr>
          <w:ilvl w:val="0"/>
          <w:numId w:val="2"/>
        </w:numPr>
      </w:pPr>
      <w:r>
        <w:rPr>
          <w:b/>
        </w:rPr>
        <w:t xml:space="preserve">(2:30–4:30) Métricas y el KPI Lead crítico.</w:t>
      </w:r>
      <w:r>
        <w:t xml:space="preserve"> Explicar por qué se eligió ese Lead y mostrar la ficha técnica (fórmula, frecuencia, meta, responsable).</w:t>
      </w:r>
    </w:p>
    <w:p>
      <w:pPr>
        <w:pStyle w:val="ListParagraph"/>
        <w:numPr>
          <w:ilvl w:val="0"/>
          <w:numId w:val="2"/>
        </w:numPr>
      </w:pPr>
      <w:r>
        <w:rPr>
          <w:b/>
        </w:rPr>
        <w:t xml:space="preserve">(4:30–6:30) La iniciativa ágil.</w:t>
      </w:r>
      <w:r>
        <w:t xml:space="preserve"> Acción concreta que hace que el KPI se cumpla. Enfatizar costo razonable para una crisis.</w:t>
      </w:r>
    </w:p>
    <w:p>
      <w:pPr>
        <w:pStyle w:val="ListParagraph"/>
        <w:numPr>
          <w:ilvl w:val="0"/>
          <w:numId w:val="2"/>
        </w:numPr>
      </w:pPr>
      <w:r>
        <w:rPr>
          <w:b/>
        </w:rPr>
        <w:t xml:space="preserve">(6:30–8:00) El cierre financiero.</w:t>
      </w:r>
      <w:r>
        <w:t xml:space="preserve"> Cómo el Lead operativo arrastra el resultado (caja/EBITDA/ingresos) y por qué es la opción responsable.</w:t>
      </w:r>
    </w:p>
    <w:p>
      <w:pPr>
        <w:pStyle w:val="Heading2"/>
      </w:pPr>
      <w:r>
        <w:t xml:space="preserve">8.2 Defensa anticipada ante el "Fuego Cruzado"</w:t>
      </w:r>
    </w:p>
    <w:p>
      <w:pPr>
        <w:pStyle w:val="Heading3"/>
      </w:pPr>
      <w:r>
        <w:t xml:space="preserve">Rol 1 — Ministerio de Hacienda (Inversor Cínico): viabilidad financiera</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500"/>
        <w:gridCol w:w="4500"/>
      </w:tblGrid>
      <w:tr>
        <w:tc>
          <w:tcPr>
            <w:tcW w:w="0" w:type="auto"/>
            <w:shd w:val="clear" w:color="auto" w:fill="1F3864"/>
          </w:tcPr>
          <w:p>
            <w:pPr>
              <w:spacing w:after="20"/>
            </w:pPr>
            <w:r>
              <w:rPr>
                <w:b/>
                <w:color w:val="FFFFFF"/>
              </w:rPr>
              <w:t xml:space="preserve">Pregunta probable</w:t>
            </w:r>
          </w:p>
        </w:tc>
        <w:tc>
          <w:tcPr>
            <w:tcW w:w="0" w:type="auto"/>
            <w:shd w:val="clear" w:color="auto" w:fill="1F3864"/>
          </w:tcPr>
          <w:p>
            <w:pPr>
              <w:spacing w:after="20"/>
            </w:pPr>
            <w:r>
              <w:rPr>
                <w:b/>
                <w:color w:val="FFFFFF"/>
              </w:rPr>
              <w:t xml:space="preserve">Respuesta preparada</w:t>
            </w:r>
          </w:p>
        </w:tc>
      </w:tr>
      <w:tr>
        <w:tc>
          <w:tcPr>
            <w:tcW w:w="0" w:type="auto"/>
          </w:tcPr>
          <w:p>
            <w:pPr>
              <w:spacing w:after="20"/>
            </w:pPr>
            <w:r>
              <w:t xml:space="preserve">"¿La iniciativa es muy cara para el momento de crisis?"</w:t>
            </w:r>
          </w:p>
        </w:tc>
        <w:tc>
          <w:tcPr>
            <w:tcW w:w="0" w:type="auto"/>
          </w:tcPr>
          <w:p>
            <w:pPr>
              <w:spacing w:after="20"/>
            </w:pPr>
            <w:r>
              <w:t xml:space="preserve">Las tres iniciativas son </w:t>
            </w:r>
            <w:r>
              <w:rPr>
                <w:b/>
              </w:rPr>
              <w:t xml:space="preserve">de bajo capex y alto retorno</w:t>
            </w:r>
            <w:r>
              <w:t xml:space="preserve">: A) usa cuadrillas propias y validación móvil (evita esperar reconstrucción total); B) </w:t>
            </w:r>
            <w:r>
              <w:rPr>
                <w:b/>
              </w:rPr>
              <w:t xml:space="preserve">no requiere inversión</w:t>
            </w:r>
            <w:r>
              <w:t xml:space="preserve">, sólo reasigna oferta (ahorra energía y desgaste); C) focaliza recurso humano existente en 20–30 estaciones (no compra masiva).</w:t>
            </w:r>
          </w:p>
        </w:tc>
      </w:tr>
      <w:tr>
        <w:tc>
          <w:tcPr>
            <w:tcW w:w="0" w:type="auto"/>
          </w:tcPr>
          <w:p>
            <w:pPr>
              <w:spacing w:after="20"/>
            </w:pPr>
            <w:r>
              <w:t xml:space="preserve">"¿El impacto en EBITDA justifica la inversión?"</w:t>
            </w:r>
          </w:p>
        </w:tc>
        <w:tc>
          <w:tcPr>
            <w:tcW w:w="0" w:type="auto"/>
          </w:tcPr>
          <w:p>
            <w:pPr>
              <w:spacing w:after="20"/>
            </w:pPr>
            <w:r>
              <w:t xml:space="preserve">En A protege caja recuperando validaciones antes; en B el costo por viaje es la mayor palanca de caja sin nuevos ingresos; en C cada punto de evasión recuperado es </w:t>
            </w:r>
            <w:r>
              <w:rPr>
                <w:b/>
              </w:rPr>
              <w:t xml:space="preserve">margen directo</w:t>
            </w:r>
            <w:r>
              <w:t xml:space="preserve"> (el servicio ya se presta). Mostrar el cálculo de payback con la cifra del EERR.</w:t>
            </w:r>
          </w:p>
        </w:tc>
      </w:tr>
      <w:tr>
        <w:tc>
          <w:tcPr>
            <w:tcW w:w="0" w:type="auto"/>
          </w:tcPr>
          <w:p>
            <w:pPr>
              <w:spacing w:after="20"/>
            </w:pPr>
            <w:r>
              <w:t xml:space="preserve">"¿De dónde sale el financiamiento?"</w:t>
            </w:r>
          </w:p>
        </w:tc>
        <w:tc>
          <w:tcPr>
            <w:tcW w:w="0" w:type="auto"/>
          </w:tcPr>
          <w:p>
            <w:pPr>
              <w:spacing w:after="20"/>
            </w:pPr>
            <w:r>
              <w:t xml:space="preserve">Aporte de capital del Estado (dueño: CORFO 62,75% + Fisco 37,25%) y reprogramación de deuda; la iniciativa busca </w:t>
            </w:r>
            <w:r>
              <w:rPr>
                <w:b/>
              </w:rPr>
              <w:t xml:space="preserve">minimizar</w:t>
            </w:r>
            <w:r>
              <w:t xml:space="preserve"> la necesidad de caja, no maximizar gasto.</w:t>
            </w:r>
          </w:p>
        </w:tc>
      </w:tr>
    </w:tbl>
    <w:p/>
    <w:p>
      <w:pPr>
        <w:pStyle w:val="Heading3"/>
      </w:pPr>
      <w:r>
        <w:t xml:space="preserve">Rol 2 — Sindicato de Trabajadores (Operaciones): métricas de Procesos/Aprendizaje</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500"/>
        <w:gridCol w:w="4500"/>
      </w:tblGrid>
      <w:tr>
        <w:tc>
          <w:tcPr>
            <w:tcW w:w="0" w:type="auto"/>
            <w:shd w:val="clear" w:color="auto" w:fill="1F3864"/>
          </w:tcPr>
          <w:p>
            <w:pPr>
              <w:spacing w:after="20"/>
            </w:pPr>
            <w:r>
              <w:rPr>
                <w:b/>
                <w:color w:val="FFFFFF"/>
              </w:rPr>
              <w:t xml:space="preserve">Pregunta probable</w:t>
            </w:r>
          </w:p>
        </w:tc>
        <w:tc>
          <w:tcPr>
            <w:tcW w:w="0" w:type="auto"/>
            <w:shd w:val="clear" w:color="auto" w:fill="1F3864"/>
          </w:tcPr>
          <w:p>
            <w:pPr>
              <w:spacing w:after="20"/>
            </w:pPr>
            <w:r>
              <w:rPr>
                <w:b/>
                <w:color w:val="FFFFFF"/>
              </w:rPr>
              <w:t xml:space="preserve">Respuesta preparada</w:t>
            </w:r>
          </w:p>
        </w:tc>
      </w:tr>
      <w:tr>
        <w:tc>
          <w:tcPr>
            <w:tcW w:w="0" w:type="auto"/>
          </w:tcPr>
          <w:p>
            <w:pPr>
              <w:spacing w:after="20"/>
            </w:pPr>
            <w:r>
              <w:t xml:space="preserve">"¿El KPI Lead recarga inútilmente al trabajador?"</w:t>
            </w:r>
          </w:p>
        </w:tc>
        <w:tc>
          <w:tcPr>
            <w:tcW w:w="0" w:type="auto"/>
          </w:tcPr>
          <w:p>
            <w:pPr>
              <w:spacing w:after="20"/>
            </w:pPr>
            <w:r>
              <w:t xml:space="preserve">No: en A el ritmo de reapertura organiza el trabajo y evita horas muertas; en B el costo/viaje </w:t>
            </w:r>
            <w:r>
              <w:rPr>
                <w:b/>
              </w:rPr>
              <w:t xml:space="preserve">protege empleos</w:t>
            </w:r>
            <w:r>
              <w:t xml:space="preserve"> al hacer sostenible la operación; en C la cobertura de fiscalización </w:t>
            </w:r>
            <w:r>
              <w:rPr>
                <w:b/>
              </w:rPr>
              <w:t xml:space="preserve">mejora la seguridad del propio personal</w:t>
            </w:r>
            <w:r>
              <w:t xml:space="preserve"> frente a la agresión y el vandalismo.</w:t>
            </w:r>
          </w:p>
        </w:tc>
      </w:tr>
      <w:tr>
        <w:tc>
          <w:tcPr>
            <w:tcW w:w="0" w:type="auto"/>
          </w:tcPr>
          <w:p>
            <w:pPr>
              <w:spacing w:after="20"/>
            </w:pPr>
            <w:r>
              <w:t xml:space="preserve">"¿Es realista medirlo con esa frecuencia?"</w:t>
            </w:r>
          </w:p>
        </w:tc>
        <w:tc>
          <w:tcPr>
            <w:tcW w:w="0" w:type="auto"/>
          </w:tcPr>
          <w:p>
            <w:pPr>
              <w:spacing w:after="20"/>
            </w:pPr>
            <w:r>
              <w:t xml:space="preserve">Las frecuencias (semanal en A y B, diaria en C) se apoyan en </w:t>
            </w:r>
            <w:r>
              <w:rPr>
                <w:b/>
              </w:rPr>
              <w:t xml:space="preserve">datos que ya existen</w:t>
            </w:r>
            <w:r>
              <w:t xml:space="preserve"> (GMAO, validaciones bip!, planillas de turno), no en reportes manuales extra. Se automatiza el tablero.</w:t>
            </w:r>
          </w:p>
        </w:tc>
      </w:tr>
      <w:tr>
        <w:tc>
          <w:tcPr>
            <w:tcW w:w="0" w:type="auto"/>
          </w:tcPr>
          <w:p>
            <w:pPr>
              <w:spacing w:after="20"/>
            </w:pPr>
            <w:r>
              <w:t xml:space="preserve">"¿Quién responde por la meta?"</w:t>
            </w:r>
          </w:p>
        </w:tc>
        <w:tc>
          <w:tcPr>
            <w:tcW w:w="0" w:type="auto"/>
          </w:tcPr>
          <w:p>
            <w:pPr>
              <w:spacing w:after="20"/>
            </w:pPr>
            <w:r>
              <w:t xml:space="preserve">Cargo gerencial definido en cada ficha; la meta es </w:t>
            </w:r>
            <w:r>
              <w:rPr>
                <w:b/>
              </w:rPr>
              <w:t xml:space="preserve">del proceso</w:t>
            </w:r>
            <w:r>
              <w:t xml:space="preserve">, no del trabajador individual.</w:t>
            </w:r>
          </w:p>
        </w:tc>
      </w:tr>
    </w:tbl>
    <w:p/>
    <w:p>
      <w:pPr>
        <w:pStyle w:val="Heading3"/>
      </w:pPr>
      <w:r>
        <w:t xml:space="preserve">Rol 3 — Asociación de Pasajeros (Cliente): ¿mejora la experiencia o sólo el bolsillo de Metro?</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500"/>
        <w:gridCol w:w="4500"/>
      </w:tblGrid>
      <w:tr>
        <w:tc>
          <w:tcPr>
            <w:tcW w:w="0" w:type="auto"/>
            <w:shd w:val="clear" w:color="auto" w:fill="1F3864"/>
          </w:tcPr>
          <w:p>
            <w:pPr>
              <w:spacing w:after="20"/>
            </w:pPr>
            <w:r>
              <w:rPr>
                <w:b/>
                <w:color w:val="FFFFFF"/>
              </w:rPr>
              <w:t xml:space="preserve">Pregunta probable</w:t>
            </w:r>
          </w:p>
        </w:tc>
        <w:tc>
          <w:tcPr>
            <w:tcW w:w="0" w:type="auto"/>
            <w:shd w:val="clear" w:color="auto" w:fill="1F3864"/>
          </w:tcPr>
          <w:p>
            <w:pPr>
              <w:spacing w:after="20"/>
            </w:pPr>
            <w:r>
              <w:rPr>
                <w:b/>
                <w:color w:val="FFFFFF"/>
              </w:rPr>
              <w:t xml:space="preserve">Respuesta preparada</w:t>
            </w:r>
          </w:p>
        </w:tc>
      </w:tr>
      <w:tr>
        <w:tc>
          <w:tcPr>
            <w:tcW w:w="0" w:type="auto"/>
          </w:tcPr>
          <w:p>
            <w:pPr>
              <w:spacing w:after="20"/>
            </w:pPr>
            <w:r>
              <w:t xml:space="preserve">"¿Esto beneficia al usuario o sólo a Metro?"</w:t>
            </w:r>
          </w:p>
        </w:tc>
        <w:tc>
          <w:tcPr>
            <w:tcW w:w="0" w:type="auto"/>
          </w:tcPr>
          <w:p>
            <w:pPr>
              <w:spacing w:after="20"/>
            </w:pPr>
            <w:r>
              <w:t xml:space="preserve">A) reabrir estaciones devuelve conectividad al usuario cautivo de menores ingresos; B) la regla de </w:t>
            </w:r>
            <w:r>
              <w:rPr>
                <w:b/>
              </w:rPr>
              <w:t xml:space="preserve">piso sanitario</w:t>
            </w:r>
            <w:r>
              <w:t xml:space="preserve"> impide que reducir frecuencia rompa el aforo seguro; C) despejar evasión y comercio ambulante devuelve un viaje </w:t>
            </w:r>
            <w:r>
              <w:rPr>
                <w:b/>
              </w:rPr>
              <w:t xml:space="preserve">seguro y digno</w:t>
            </w:r>
            <w:r>
              <w:t xml:space="preserve"> a quien sí paga.</w:t>
            </w:r>
          </w:p>
        </w:tc>
      </w:tr>
      <w:tr>
        <w:tc>
          <w:tcPr>
            <w:tcW w:w="0" w:type="auto"/>
          </w:tcPr>
          <w:p>
            <w:pPr>
              <w:spacing w:after="20"/>
            </w:pPr>
            <w:r>
              <w:t xml:space="preserve">"¿No empeora el servicio para ahorrar?"</w:t>
            </w:r>
          </w:p>
        </w:tc>
        <w:tc>
          <w:tcPr>
            <w:tcW w:w="0" w:type="auto"/>
          </w:tcPr>
          <w:p>
            <w:pPr>
              <w:spacing w:after="20"/>
            </w:pPr>
            <w:r>
              <w:t xml:space="preserve">El BSC liga explícitamente la perspectiva Cliente con la Financiera: ningún ahorro puede cruzar el umbral de servicio esencial/seguridad. Ese límite está escrito en las iniciativas.</w:t>
            </w:r>
          </w:p>
        </w:tc>
      </w:tr>
    </w:tbl>
    <w:p/>
    <w:p>
      <w:pPr>
        <w:pStyle w:val="Heading2"/>
      </w:pPr>
      <w:r>
        <w:t xml:space="preserve">8.3 Munición para cuando somos JURADO (20 pts) — preguntas afiladas a otros grupos</w:t>
      </w:r>
    </w:p>
    <w:p>
      <w:r>
        <w:rPr>
          <w:b/>
        </w:rPr>
        <w:t xml:space="preserve">Como Ministerio de Hacienda, pregunten:</w:t>
      </w:r>
    </w:p>
    <w:p>
      <w:pPr>
        <w:pStyle w:val="ListParagraph"/>
        <w:numPr>
          <w:ilvl w:val="0"/>
          <w:numId w:val="1"/>
        </w:numPr>
      </w:pPr>
      <w:r>
        <w:t xml:space="preserve">"Muéstrenme el </w:t>
      </w:r>
      <w:r>
        <w:rPr>
          <w:b/>
        </w:rPr>
        <w:t xml:space="preserve">payback</w:t>
      </w:r>
      <w:r>
        <w:t xml:space="preserve"> de su iniciativa con la cifra del EERR del año. ¿En cuántos meses se recupera la inversión?"</w:t>
      </w:r>
    </w:p>
    <w:p>
      <w:pPr>
        <w:pStyle w:val="ListParagraph"/>
        <w:numPr>
          <w:ilvl w:val="0"/>
          <w:numId w:val="1"/>
        </w:numPr>
      </w:pPr>
      <w:r>
        <w:t xml:space="preserve">"Su KPI es un </w:t>
      </w:r>
      <w:r>
        <w:rPr>
          <w:b/>
        </w:rPr>
        <w:t xml:space="preserve">Lag</w:t>
      </w:r>
      <w:r>
        <w:t xml:space="preserve"> disfrazado de Lead. ¿Qué pueden mover ustedes </w:t>
      </w:r>
      <w:r>
        <w:rPr>
          <w:b/>
        </w:rPr>
        <w:t xml:space="preserve">esta semana</w:t>
      </w:r>
      <w:r>
        <w:t xml:space="preserve"> que cambie el resultado?"</w:t>
      </w:r>
    </w:p>
    <w:p>
      <w:pPr>
        <w:pStyle w:val="ListParagraph"/>
        <w:numPr>
          <w:ilvl w:val="0"/>
          <w:numId w:val="1"/>
        </w:numPr>
      </w:pPr>
      <w:r>
        <w:t xml:space="preserve">"¿Cuál es su </w:t>
      </w:r>
      <w:r>
        <w:rPr>
          <w:b/>
        </w:rPr>
        <w:t xml:space="preserve">runway de caja</w:t>
      </w:r>
      <w:r>
        <w:t xml:space="preserve"> y cómo lo afecta esta iniciativa?"</w:t>
      </w:r>
    </w:p>
    <w:p>
      <w:r>
        <w:rPr>
          <w:b/>
        </w:rPr>
        <w:t xml:space="preserve">Como Sindicato, pregunten:</w:t>
      </w:r>
    </w:p>
    <w:p>
      <w:pPr>
        <w:pStyle w:val="ListParagraph"/>
        <w:numPr>
          <w:ilvl w:val="0"/>
          <w:numId w:val="1"/>
        </w:numPr>
      </w:pPr>
      <w:r>
        <w:t xml:space="preserve">"Su meta de frecuencia/medición, ¿con qué sistema se captura el dato? ¿O es un Excel manual que recargará al turno?"</w:t>
      </w:r>
    </w:p>
    <w:p>
      <w:pPr>
        <w:pStyle w:val="ListParagraph"/>
        <w:numPr>
          <w:ilvl w:val="0"/>
          <w:numId w:val="1"/>
        </w:numPr>
      </w:pPr>
      <w:r>
        <w:t xml:space="preserve">"¿La meta del KPI es alcanzable o es un número de PowerPoint? Justifiquen el valor con un *baseline*."</w:t>
      </w:r>
    </w:p>
    <w:p>
      <w:r>
        <w:rPr>
          <w:b/>
        </w:rPr>
        <w:t xml:space="preserve">Como Asociación de Pasajeros, pregunten:</w:t>
      </w:r>
    </w:p>
    <w:p>
      <w:pPr>
        <w:pStyle w:val="ListParagraph"/>
        <w:numPr>
          <w:ilvl w:val="0"/>
          <w:numId w:val="1"/>
        </w:numPr>
      </w:pPr>
      <w:r>
        <w:t xml:space="preserve">"¿Dónde está, en su mapa estratégico, el </w:t>
      </w:r>
      <w:r>
        <w:rPr>
          <w:b/>
        </w:rPr>
        <w:t xml:space="preserve">límite que protege al usuario</w:t>
      </w:r>
      <w:r>
        <w:t xml:space="preserve">? Señálenlo."</w:t>
      </w:r>
    </w:p>
    <w:p>
      <w:pPr>
        <w:pStyle w:val="ListParagraph"/>
        <w:numPr>
          <w:ilvl w:val="0"/>
          <w:numId w:val="1"/>
        </w:numPr>
      </w:pPr>
      <w:r>
        <w:t xml:space="preserve">"Su solución, ¿mejora un indicador de </w:t>
      </w:r>
      <w:r>
        <w:rPr>
          <w:b/>
        </w:rPr>
        <w:t xml:space="preserve">experiencia del cliente</w:t>
      </w:r>
      <w:r>
        <w:t xml:space="preserve"> o sólo uno financiero? Nómbrenlo."</w:t>
      </w:r>
    </w:p>
    <w:p>
      <w:pPr>
        <w:pStyle w:val="Quote"/>
      </w:pPr>
      <w:r>
        <w:rPr>
          <w:b/>
        </w:rPr>
        <w:t xml:space="preserve">Conceptos de control de gestión para lucirse como jurado:</w:t>
      </w:r>
      <w:r>
        <w:t xml:space="preserve"> distinción Lead vs Lag, relación causa-efecto del mapa estratégico, alineamiento vertical (objetivo→KPI→iniciativa), diferencia entre resultado contable (EBITDA) y liquidez (caja/runway), costo fijo vs variable, y el principio de que "lo que no se mide no se gestiona" pero "medir de más también cuesta".</w:t>
      </w:r>
    </w:p>
    <w:p>
      <w:pPr>
        <w:pBdr>
          <w:bottom w:val="single" w:sz="6" w:space="1" w:color="999999"/>
        </w:pBdr>
      </w:pPr>
    </w:p>
    <w:p>
      <w:pPr>
        <w:pStyle w:val="Heading1"/>
      </w:pPr>
      <w:r>
        <w:t xml:space="preserve">9. Fuentes y Referencias</w:t>
      </w:r>
    </w:p>
    <w:p>
      <w:r>
        <w:rPr>
          <w:b/>
        </w:rPr>
        <w:t xml:space="preserve">Fuentes primarias para las cifras de EERR (de uso obligatorio para cerrar los `[VERIFICAR EN EERR]`):</w:t>
      </w:r>
    </w:p>
    <w:p>
      <w:pPr>
        <w:pStyle w:val="ListParagraph"/>
        <w:numPr>
          <w:ilvl w:val="0"/>
          <w:numId w:val="1"/>
        </w:numPr>
      </w:pPr>
      <w:r>
        <w:t xml:space="preserve">Metro S.A. — Informe Financiero Anual (Estados Financieros, notas y dictámenes de auditores): https://metro.cl/gobierno-corporativo/informe-financiero-anual</w:t>
      </w:r>
    </w:p>
    <w:p>
      <w:pPr>
        <w:pStyle w:val="ListParagraph"/>
        <w:numPr>
          <w:ilvl w:val="0"/>
          <w:numId w:val="1"/>
        </w:numPr>
      </w:pPr>
      <w:r>
        <w:t xml:space="preserve">Comisión para el Mercado Financiero (CMF), Chile — registro de "Empresa de Transporte de Pasajeros Metro S.A.": https://www.cmfchile.cl</w:t>
      </w:r>
    </w:p>
    <w:p>
      <w:pPr>
        <w:pStyle w:val="ListParagraph"/>
        <w:numPr>
          <w:ilvl w:val="0"/>
          <w:numId w:val="1"/>
        </w:numPr>
      </w:pPr>
      <w:r>
        <w:t xml:space="preserve">Memorias Anuales de Metro S.A. (años 2018, 2019, 2020, 2021, 2023 y 2024).</w:t>
      </w:r>
    </w:p>
    <w:p>
      <w:pPr>
        <w:pStyle w:val="ListParagraph"/>
        <w:numPr>
          <w:ilvl w:val="0"/>
          <w:numId w:val="1"/>
        </w:numPr>
      </w:pPr>
      <w:r>
        <w:t xml:space="preserve">Directorio de Transporte Público Metropolitano (DTPM) / Ministerio de Transportes — estadísticas de evasión del sistema RED.</w:t>
      </w:r>
    </w:p>
    <w:p>
      <w:r>
        <w:rPr>
          <w:b/>
        </w:rPr>
        <w:t xml:space="preserve">Fuentes secundarias citadas en el informe (datos verificados):</w:t>
      </w:r>
    </w:p>
    <w:p>
      <w:pPr>
        <w:pStyle w:val="ListParagraph"/>
        <w:numPr>
          <w:ilvl w:val="0"/>
          <w:numId w:val="1"/>
        </w:numPr>
      </w:pPr>
      <w:r>
        <w:t xml:space="preserve">*International Railway Journal* — daños a estaciones y costo de reparación (~US$380M, en su mayoría sin seguro): "Santiago metro suffers serious damage in fares hike protest" y "Repairs to Santiago metro could cost US$380m" (oct.–nov. 2019).</w:t>
      </w:r>
    </w:p>
    <w:p>
      <w:pPr>
        <w:pStyle w:val="ListParagraph"/>
        <w:numPr>
          <w:ilvl w:val="0"/>
          <w:numId w:val="1"/>
        </w:numPr>
      </w:pPr>
      <w:r>
        <w:t xml:space="preserve">*NACLA* — ~80 estaciones dañadas y daño financiero &gt; US$300M (oct. 2019).</w:t>
      </w:r>
    </w:p>
    <w:p>
      <w:pPr>
        <w:pStyle w:val="ListParagraph"/>
        <w:numPr>
          <w:ilvl w:val="0"/>
          <w:numId w:val="1"/>
        </w:numPr>
      </w:pPr>
      <w:r>
        <w:t xml:space="preserve">*Wikipedia* — "Santiago Metro" (red de 7 líneas, 143 estaciones, ~149 km, ~2,5 M viajes/día) y "Social Outburst (Chile)" (cronología del estallido).</w:t>
      </w:r>
    </w:p>
    <w:p>
      <w:pPr>
        <w:pStyle w:val="ListParagraph"/>
        <w:numPr>
          <w:ilvl w:val="0"/>
          <w:numId w:val="1"/>
        </w:numPr>
      </w:pPr>
      <w:r>
        <w:t xml:space="preserve">*Railway Gazette* — apertura de Línea 3 (22-ene-2019) y extensión a Plaza Quilicura (25-sep-2023).</w:t>
      </w:r>
    </w:p>
    <w:p>
      <w:pPr>
        <w:pStyle w:val="ListParagraph"/>
        <w:numPr>
          <w:ilvl w:val="0"/>
          <w:numId w:val="1"/>
        </w:numPr>
      </w:pPr>
      <w:r>
        <w:t xml:space="preserve">*NPR* / *Al Jazeera* — alza tarifaria de octubre 2019 y origen de #EvasiónMasiva.</w:t>
      </w:r>
    </w:p>
    <w:p>
      <w:pPr>
        <w:pStyle w:val="ListParagraph"/>
        <w:numPr>
          <w:ilvl w:val="0"/>
          <w:numId w:val="1"/>
        </w:numPr>
      </w:pPr>
      <w:r>
        <w:t xml:space="preserve">*Statista* — caída de ingresos operativos del metro de Santiago en 2020 vs 2019 y ridership por línea 2020 (valores exactos tras paywall; confirmar en EERR).</w:t>
      </w:r>
    </w:p>
    <w:p>
      <w:pPr>
        <w:pStyle w:val="ListParagraph"/>
        <w:numPr>
          <w:ilvl w:val="0"/>
          <w:numId w:val="1"/>
        </w:numPr>
      </w:pPr>
      <w:r>
        <w:t xml:space="preserve">*TRB/TRID* y *ResearchGate* — niveles de evasión del sistema de transporte de Santiago (buses ~25–30%, metro históricamente ~0%).</w:t>
      </w:r>
    </w:p>
    <w:p>
      <w:pPr>
        <w:pStyle w:val="ListParagraph"/>
        <w:numPr>
          <w:ilvl w:val="0"/>
          <w:numId w:val="1"/>
        </w:numPr>
      </w:pPr>
      <w:r>
        <w:t xml:space="preserve">*getonline.ie* — estructura de propiedad de Metro (CORFO 62,75% / Fisco 37,25%) y rol del Metro en el sistema.</w:t>
      </w:r>
    </w:p>
    <w:p>
      <w:pPr>
        <w:pStyle w:val="Quote"/>
      </w:pPr>
      <w:r>
        <w:rPr>
          <w:b/>
        </w:rPr>
        <w:t xml:space="preserve">Nota de cumplimiento:</w:t>
      </w:r>
      <w:r>
        <w:t xml:space="preserve"> los contenidos de fuentes externas fueron parafraseados y resumidos; no se reproducen textualmente. Las cifras marcadas </w:t>
      </w:r>
      <w:r>
        <w:rPr>
          <w:rFonts w:ascii="Consolas" w:hAnsi="Consolas"/>
        </w:rPr>
        <w:t xml:space="preserve">[VERIFICAR EN EERR]</w:t>
      </w:r>
      <w:r>
        <w:t xml:space="preserve"> deben reemplazarse con el valor exacto de los Estados Financieros oficiales antes de la entrega final, para cumplir la regla de la pauta sobre veracidad de los números.</w:t>
      </w:r>
    </w:p>
    <w:p>
      <w:pPr>
        <w:pBdr>
          <w:bottom w:val="single" w:sz="6" w:space="1" w:color="999999"/>
        </w:pBdr>
      </w:pPr>
    </w:p>
    <w:p>
      <w:r>
        <w:t xml:space="preserve">*Documento preparado como insumo del Comité de Crisis y Estrategia de Metro S.A. — Proyecto Cronos. Verifiquen y completen las cifras marcadas con los EERR oficiales de la CMF antes de la entrega.*</w:t>
      </w:r>
    </w:p>
    <w:sectPr>
      <w:pgSz w:w="11906" w:h="16838"/>
      <w:pgMar w:top="1418" w:right="1418" w:bottom="1418" w:left="1418"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abstractNum>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60" w:line="276" w:lineRule="auto"/>
    </w:pPr>
  </w:style>
  <w:style w:type="paragraph" w:styleId="Heading1">
    <w:name w:val="heading 1"/>
    <w:basedOn w:val="Normal"/>
    <w:pPr>
      <w:keepNext/>
      <w:spacing w:before="360" w:after="120"/>
      <w:outlineLvl w:val="0"/>
    </w:pPr>
    <w:rPr>
      <w:b/>
      <w:color w:val="1F3864"/>
      <w:sz w:val="36"/>
    </w:rPr>
  </w:style>
  <w:style w:type="paragraph" w:styleId="Heading2">
    <w:name w:val="heading 2"/>
    <w:basedOn w:val="Normal"/>
    <w:pPr>
      <w:keepNext/>
      <w:spacing w:before="280" w:after="100"/>
      <w:outlineLvl w:val="1"/>
    </w:pPr>
    <w:rPr>
      <w:b/>
      <w:color w:val="2E5496"/>
      <w:sz w:val="30"/>
    </w:rPr>
  </w:style>
  <w:style w:type="paragraph" w:styleId="Heading3">
    <w:name w:val="heading 3"/>
    <w:basedOn w:val="Normal"/>
    <w:pPr>
      <w:keepNext/>
      <w:spacing w:before="220" w:after="80"/>
      <w:outlineLvl w:val="2"/>
    </w:pPr>
    <w:rPr>
      <w:b/>
      <w:color w:val="2E5496"/>
      <w:sz w:val="26"/>
    </w:rPr>
  </w:style>
  <w:style w:type="paragraph" w:styleId="Heading4">
    <w:name w:val="heading 4"/>
    <w:basedOn w:val="Normal"/>
    <w:pPr>
      <w:keepNext/>
      <w:spacing w:before="180" w:after="60"/>
      <w:outlineLvl w:val="3"/>
    </w:pPr>
    <w:rPr>
      <w:b/>
      <w:i/>
      <w:color w:val="404040"/>
      <w:sz w:val="24"/>
    </w:rPr>
  </w:style>
  <w:style w:type="paragraph" w:styleId="Quote">
    <w:name w:val="Quote"/>
    <w:basedOn w:val="Normal"/>
    <w:pPr>
      <w:ind w:left="480"/>
      <w:pBdr>
        <w:left w:val="single" w:sz="18" w:space="8" w:color="2E5496"/>
      </w:pBdr>
      <w:spacing w:before="80" w:after="80"/>
    </w:pPr>
    <w:rPr>
      <w:i/>
      <w:color w:val="404040"/>
    </w:rPr>
  </w:style>
  <w:style w:type="paragraph" w:styleId="ListParagraph">
    <w:name w:val="List Paragraph"/>
    <w:basedOn w:val="Normal"/>
    <w:pPr>
      <w:spacing w:after="60"/>
      <w:ind w:left="720"/>
    </w:pPr>
  </w:style>
  <w:style w:type="paragraph" w:styleId="Title">
    <w:name w:val="Title"/>
    <w:basedOn w:val="Normal"/>
    <w:pPr>
      <w:jc w:val="center"/>
      <w:spacing w:after="80"/>
    </w:pPr>
    <w:rPr>
      <w:b/>
      <w:color w:val="1F3864"/>
      <w:sz w:val="56"/>
    </w:rPr>
  </w:style>
  <w:style w:type="paragraph" w:styleId="Subtitle">
    <w:name w:val="Subtitle"/>
    <w:basedOn w:val="Normal"/>
    <w:pPr>
      <w:jc w:val="center"/>
      <w:spacing w:after="240"/>
    </w:pPr>
    <w:rPr>
      <w:i/>
      <w:color w:val="2E5496"/>
      <w:sz w:val="28"/>
    </w:rPr>
  </w:style>
  <w:style w:type="table" w:styleId="TableGrid">
    <w:name w:val="Table Grid"/>
    <w:basedOn w:val="TableNormal"/>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default="1" w:styleId="TableNormal">
    <w:name w:val="Normal Table"/>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