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120"/>
        <w:jc w:val="center"/>
      </w:pPr>
      <w:r>
        <w:rPr>
          <w:rFonts w:ascii="Times New Roman" w:hAnsi="Times New Roman" w:eastAsia="黑体"/>
          <w:b w:val="0"/>
          <w:color w:val="000000"/>
          <w:sz w:val="44"/>
        </w:rPr>
        <w:t>开题报告（草稿）</w:t>
      </w:r>
    </w:p>
    <w:p>
      <w:pPr>
        <w:spacing w:line="360" w:lineRule="auto" w:before="0" w:after="240"/>
        <w:jc w:val="center"/>
      </w:pPr>
      <w:r>
        <w:rPr>
          <w:rFonts w:ascii="Times New Roman" w:hAnsi="Times New Roman" w:eastAsia="宋体"/>
          <w:b w:val="0"/>
          <w:color w:val="000000"/>
          <w:sz w:val="28"/>
        </w:rPr>
        <w:t>课题名称：率失真视角下大语言模型幻觉的检测与干预</w:t>
      </w:r>
    </w:p>
    <w:p>
      <w:pPr>
        <w:spacing w:line="360" w:lineRule="auto" w:before="200" w:after="200"/>
        <w:jc w:val="center"/>
      </w:pPr>
      <w:r>
        <w:rPr>
          <w:rFonts w:ascii="Times New Roman" w:hAnsi="Times New Roman" w:eastAsia="黑体"/>
          <w:b w:val="0"/>
          <w:color w:val="000000"/>
          <w:sz w:val="30"/>
        </w:rPr>
        <w:t>目　录</w:t>
      </w:r>
    </w:p>
    <w:p>
      <w:pPr>
        <w:spacing w:line="300" w:lineRule="auto" w:before="0" w:after="0"/>
      </w:pPr>
      <w:r>
        <w:rPr>
          <w:rFonts w:ascii="Times New Roman" w:hAnsi="Times New Roman" w:eastAsia="宋体"/>
          <w:b w:val="0"/>
          <w:color w:val="000000"/>
          <w:sz w:val="24"/>
        </w:rPr>
        <w:t>1．课题来源及研究目的和意义</w:t>
      </w:r>
    </w:p>
    <w:p>
      <w:pPr>
        <w:spacing w:line="300" w:lineRule="auto" w:before="0" w:after="0"/>
      </w:pPr>
      <w:r>
        <w:rPr>
          <w:rFonts w:ascii="Times New Roman" w:hAnsi="Times New Roman" w:eastAsia="宋体"/>
          <w:b w:val="0"/>
          <w:color w:val="000000"/>
          <w:sz w:val="24"/>
        </w:rPr>
        <w:t>1.1 课题的来源</w:t>
      </w:r>
    </w:p>
    <w:p>
      <w:pPr>
        <w:spacing w:line="300" w:lineRule="auto" w:before="0" w:after="0"/>
      </w:pPr>
      <w:r>
        <w:rPr>
          <w:rFonts w:ascii="Times New Roman" w:hAnsi="Times New Roman" w:eastAsia="宋体"/>
          <w:b w:val="0"/>
          <w:color w:val="000000"/>
          <w:sz w:val="24"/>
        </w:rPr>
        <w:t>1.2 课题研究目的和意义</w:t>
      </w:r>
    </w:p>
    <w:p>
      <w:pPr>
        <w:spacing w:line="300" w:lineRule="auto" w:before="0" w:after="0"/>
      </w:pPr>
      <w:r>
        <w:rPr>
          <w:rFonts w:ascii="Times New Roman" w:hAnsi="Times New Roman" w:eastAsia="宋体"/>
          <w:b w:val="0"/>
          <w:color w:val="000000"/>
          <w:sz w:val="24"/>
        </w:rPr>
        <w:t>2．国内外研究现状及分析</w:t>
      </w:r>
    </w:p>
    <w:p>
      <w:pPr>
        <w:spacing w:line="300" w:lineRule="auto" w:before="0" w:after="0"/>
      </w:pPr>
      <w:r>
        <w:rPr>
          <w:rFonts w:ascii="Times New Roman" w:hAnsi="Times New Roman" w:eastAsia="宋体"/>
          <w:b w:val="0"/>
          <w:color w:val="000000"/>
          <w:sz w:val="24"/>
        </w:rPr>
        <w:t>2.1 国外研究现状</w:t>
      </w:r>
    </w:p>
    <w:p>
      <w:pPr>
        <w:spacing w:line="300" w:lineRule="auto" w:before="0" w:after="0"/>
      </w:pPr>
      <w:r>
        <w:rPr>
          <w:rFonts w:ascii="Times New Roman" w:hAnsi="Times New Roman" w:eastAsia="宋体"/>
          <w:b w:val="0"/>
          <w:color w:val="000000"/>
          <w:sz w:val="24"/>
        </w:rPr>
        <w:t>2.2 国内研究现状</w:t>
      </w:r>
    </w:p>
    <w:p>
      <w:pPr>
        <w:spacing w:line="300" w:lineRule="auto" w:before="0" w:after="0"/>
      </w:pPr>
      <w:r>
        <w:rPr>
          <w:rFonts w:ascii="Times New Roman" w:hAnsi="Times New Roman" w:eastAsia="宋体"/>
          <w:b w:val="0"/>
          <w:color w:val="000000"/>
          <w:sz w:val="24"/>
        </w:rPr>
        <w:t>2.3 国内外文献综述的简析</w:t>
      </w:r>
    </w:p>
    <w:p>
      <w:pPr>
        <w:spacing w:line="300" w:lineRule="auto" w:before="0" w:after="0"/>
      </w:pPr>
      <w:r>
        <w:rPr>
          <w:rFonts w:ascii="Times New Roman" w:hAnsi="Times New Roman" w:eastAsia="宋体"/>
          <w:b w:val="0"/>
          <w:color w:val="000000"/>
          <w:sz w:val="24"/>
        </w:rPr>
        <w:t>3．主要内容及方案（待续）</w:t>
      </w:r>
    </w:p>
    <w:p>
      <w:pPr>
        <w:spacing w:line="300" w:lineRule="auto" w:before="0" w:after="0"/>
      </w:pPr>
      <w:r>
        <w:rPr>
          <w:rFonts w:ascii="Times New Roman" w:hAnsi="Times New Roman" w:eastAsia="宋体"/>
          <w:b w:val="0"/>
          <w:color w:val="000000"/>
          <w:sz w:val="24"/>
        </w:rPr>
        <w:t>4．预期达到的目标（待续）</w:t>
      </w:r>
    </w:p>
    <w:p>
      <w:pPr>
        <w:spacing w:line="300" w:lineRule="auto" w:before="0" w:after="0"/>
      </w:pPr>
      <w:r>
        <w:rPr>
          <w:rFonts w:ascii="Times New Roman" w:hAnsi="Times New Roman" w:eastAsia="宋体"/>
          <w:b w:val="0"/>
          <w:color w:val="000000"/>
          <w:sz w:val="24"/>
        </w:rPr>
        <w:t>5．已完成的学术研究/实践工作（待续）</w:t>
      </w:r>
    </w:p>
    <w:p>
      <w:pPr>
        <w:spacing w:line="300" w:lineRule="auto" w:before="0" w:after="0"/>
      </w:pPr>
      <w:r>
        <w:rPr>
          <w:rFonts w:ascii="Times New Roman" w:hAnsi="Times New Roman" w:eastAsia="宋体"/>
          <w:b w:val="0"/>
          <w:color w:val="000000"/>
          <w:sz w:val="24"/>
        </w:rPr>
        <w:t>6．进度安排（待续）</w:t>
      </w:r>
    </w:p>
    <w:p>
      <w:pPr>
        <w:spacing w:line="300" w:lineRule="auto" w:before="0" w:after="0"/>
      </w:pPr>
      <w:r>
        <w:rPr>
          <w:rFonts w:ascii="Times New Roman" w:hAnsi="Times New Roman" w:eastAsia="宋体"/>
          <w:b w:val="0"/>
          <w:color w:val="000000"/>
          <w:sz w:val="24"/>
        </w:rPr>
        <w:t>7．为完成课题所需的条件（待续）</w:t>
      </w:r>
    </w:p>
    <w:p>
      <w:pPr>
        <w:spacing w:line="300" w:lineRule="auto" w:before="0" w:after="0"/>
      </w:pPr>
      <w:r>
        <w:rPr>
          <w:rFonts w:ascii="Times New Roman" w:hAnsi="Times New Roman" w:eastAsia="宋体"/>
          <w:b w:val="0"/>
          <w:color w:val="000000"/>
          <w:sz w:val="24"/>
        </w:rPr>
        <w:t>8．研究过程中可能遇到的问题以及解决的措施（待续）</w:t>
      </w:r>
    </w:p>
    <w:p>
      <w:pPr>
        <w:spacing w:line="300" w:lineRule="auto" w:before="0" w:after="0"/>
      </w:pPr>
      <w:r>
        <w:rPr>
          <w:rFonts w:ascii="Times New Roman" w:hAnsi="Times New Roman" w:eastAsia="宋体"/>
          <w:b w:val="0"/>
          <w:color w:val="000000"/>
          <w:sz w:val="24"/>
        </w:rPr>
        <w:t>9．参考文献（见文末初步清单，待续）</w:t>
      </w:r>
    </w:p>
    <w:p>
      <w:pPr>
        <w:spacing w:line="360" w:lineRule="auto" w:before="200" w:after="200"/>
      </w:pPr>
      <w:r>
        <w:rPr>
          <w:rFonts w:ascii="Times New Roman" w:hAnsi="Times New Roman" w:eastAsia="黑体"/>
          <w:b w:val="0"/>
          <w:color w:val="000000"/>
          <w:sz w:val="30"/>
        </w:rPr>
        <w:t>1．课题来源及研究目的和意义</w:t>
      </w:r>
    </w:p>
    <w:p>
      <w:pPr>
        <w:spacing w:line="360" w:lineRule="auto" w:before="180" w:after="180"/>
      </w:pPr>
      <w:r>
        <w:rPr>
          <w:rFonts w:ascii="Times New Roman" w:hAnsi="Times New Roman" w:eastAsia="黑体"/>
          <w:b w:val="0"/>
          <w:color w:val="000000"/>
          <w:sz w:val="28"/>
        </w:rPr>
        <w:t>1.1 课题的来源</w:t>
      </w:r>
    </w:p>
    <w:p>
      <w:pPr>
        <w:spacing w:line="360" w:lineRule="auto" w:before="0" w:after="0"/>
        <w:ind w:firstLineChars="200" w:firstLine="0"/>
      </w:pPr>
      <w:r>
        <w:rPr>
          <w:rFonts w:ascii="Times New Roman" w:hAnsi="Times New Roman" w:eastAsia="宋体"/>
          <w:b w:val="0"/>
          <w:color w:val="000000"/>
          <w:sz w:val="24"/>
        </w:rPr>
        <w:t>本课题来源于本人攻读硕士学位期间的毕业论文选题，在导师【导师姓名】【职称】的指导下进行，属于课题组【课题组/实验室名称】"大语言模型可信性"研究方向的一部分【若依托具体项目或基金，在此注明项目名称与编号】。</w:t>
      </w:r>
    </w:p>
    <w:p>
      <w:pPr>
        <w:spacing w:line="360" w:lineRule="auto" w:before="0" w:after="0"/>
        <w:ind w:firstLineChars="200" w:firstLine="0"/>
      </w:pPr>
      <w:r>
        <w:rPr>
          <w:rFonts w:ascii="Times New Roman" w:hAnsi="Times New Roman" w:eastAsia="宋体"/>
          <w:b w:val="0"/>
          <w:color w:val="000000"/>
          <w:sz w:val="24"/>
        </w:rPr>
        <w:t>大语言模型在问答、写作、代码生成等任务中表现出接近乃至超越人类的水平，但其"幻觉"现象——生成与事实不符、却以高置信度输出的内容——始终是制约其在医疗、法律、金融等高可靠场景落地的核心障碍。近年来的理论工作使学界对这一问题的认识发生了根本转变：幻觉并非单纯的工程缺陷，而是模型在有限记忆预算下的一种"最优"行为——Kalai 与 Vempala 证明了任何校准模型都必然产生幻觉，Guo 与 Li 进一步在率失真框架下证明高置信幻觉是 log-loss 最优输出分布的必然组成部分。这意味着幻觉的检测与干预不能停留在经验试错层面，而必须置于信息论框架下分析其可达域与界限。</w:t>
      </w:r>
    </w:p>
    <w:p>
      <w:pPr>
        <w:spacing w:line="360" w:lineRule="auto" w:before="0" w:after="0"/>
        <w:ind w:firstLineChars="200" w:firstLine="0"/>
      </w:pPr>
      <w:r>
        <w:rPr>
          <w:rFonts w:ascii="Times New Roman" w:hAnsi="Times New Roman" w:eastAsia="宋体"/>
          <w:b w:val="0"/>
          <w:color w:val="000000"/>
          <w:sz w:val="24"/>
        </w:rPr>
        <w:t>本课题正是围绕"检测＋干预"闭环展开的系统性研究：检测侧系统考察输出面置信度、内部表示读出、采样一致性等主流方法的可用边界与任务依赖规律；干预侧探索推理时译码器的纠错容量界限，并在训练时修正方向探索"防遗忘"与"幻觉修正"的量化权衡。课题以率失真理论为统一框架，将检测与干预分别建模为失真识别与固定速率下的失真削减，最终目标是形成"理论界限—协议化评测—实证验证"相互支撑的完整研究。</w:t>
      </w:r>
    </w:p>
    <w:p>
      <w:pPr>
        <w:spacing w:line="360" w:lineRule="auto" w:before="180" w:after="180"/>
      </w:pPr>
      <w:r>
        <w:rPr>
          <w:rFonts w:ascii="Times New Roman" w:hAnsi="Times New Roman" w:eastAsia="黑体"/>
          <w:b w:val="0"/>
          <w:color w:val="000000"/>
          <w:sz w:val="28"/>
        </w:rPr>
        <w:t>1.2 课题研究目的和意义</w:t>
      </w:r>
    </w:p>
    <w:p>
      <w:pPr>
        <w:spacing w:line="360" w:lineRule="auto" w:before="0" w:after="0"/>
        <w:ind w:firstLineChars="200" w:firstLine="0"/>
      </w:pPr>
      <w:r>
        <w:rPr>
          <w:rFonts w:ascii="Times New Roman" w:hAnsi="Times New Roman" w:eastAsia="宋体"/>
          <w:b w:val="0"/>
          <w:color w:val="000000"/>
          <w:sz w:val="24"/>
        </w:rPr>
        <w:t>本课题的研究目的是：以率失真理论为统一框架，研究大语言模型幻觉的检测与干预，并回答三个可证伪的科学问题。第一，检测问题：模型内部状态的何种统计量能够可靠识别幻觉输出，检测强度如何随任务类型变化；第二，推理时界限问题：在不修改模型参数的前提下，推理时译码器的纠错容量是否存在可界定的上限；第三，训练时修正问题：修改模型参数能否在净效应意义上减小失真，即修对的样本多于改坏的样本。课题的最终目标是完成"检测＋干预"的完整闭环：检测侧刻画检测能力随任务变化的规律，为幻觉检测系统的适用范围给出量化边界；干预侧刻画推理时容量的界限，并实证检验训练时正则化方案作为通向闭环的工作点。</w:t>
      </w:r>
    </w:p>
    <w:p>
      <w:pPr>
        <w:spacing w:line="360" w:lineRule="auto" w:before="0" w:after="0"/>
        <w:ind w:firstLineChars="200" w:firstLine="0"/>
      </w:pPr>
      <w:r>
        <w:rPr>
          <w:rFonts w:ascii="Times New Roman" w:hAnsi="Times New Roman" w:eastAsia="宋体"/>
          <w:b w:val="0"/>
          <w:color w:val="000000"/>
          <w:sz w:val="24"/>
        </w:rPr>
        <w:t>本课题的意义体现在理论、方法与实践三个层面。理论层面，课题尝试把幻觉的检测与干预置于率失真定理的统一框架下——将"检测"对应失真识别、将"干预"对应固定速率下的失真削减，并在此框架下探索推理时干预容量的理论刻画，有望把"哪些方法注定无效、为什么无效"从经验观察上升为可检验的理论预言，为 ITI、RepE、ROME 等方法的适用边界提供解释。方法层面，幻觉研究结论对评估协议高度敏感：in-sample 评测、模糊匹配标签、prompt 完整性缺陷广泛存在于已有工作之中，导致结论可比性差；课题将建立协议透明的标准化评测流程，并以该流程约束全部实验结论，为领域提供可复现的方法论规范。实践层面，检测侧的任务依赖规律可为幻觉检测系统的部署边界提供依据，干预侧对推理时容量的理论探索可为工业界把资源从推理时补丁转向训练时方案提供决策依据，训练时正则化方案对"防遗忘"与"修正"权衡的量化则直接服务于安全微调、领域适配等实践。</w:t>
      </w:r>
    </w:p>
    <w:p>
      <w:pPr>
        <w:spacing w:line="360" w:lineRule="auto" w:before="200" w:after="200"/>
      </w:pPr>
      <w:r>
        <w:rPr>
          <w:rFonts w:ascii="Times New Roman" w:hAnsi="Times New Roman" w:eastAsia="黑体"/>
          <w:b w:val="0"/>
          <w:color w:val="000000"/>
          <w:sz w:val="30"/>
        </w:rPr>
        <w:t>2．国内外研究现状及分析</w:t>
      </w:r>
    </w:p>
    <w:p>
      <w:pPr>
        <w:spacing w:line="360" w:lineRule="auto" w:before="180" w:after="180"/>
      </w:pPr>
      <w:r>
        <w:rPr>
          <w:rFonts w:ascii="Times New Roman" w:hAnsi="Times New Roman" w:eastAsia="黑体"/>
          <w:b w:val="0"/>
          <w:color w:val="000000"/>
          <w:sz w:val="28"/>
        </w:rPr>
        <w:t>2.1 国外研究现状</w:t>
      </w:r>
    </w:p>
    <w:p>
      <w:pPr>
        <w:spacing w:line="360" w:lineRule="auto" w:before="0" w:after="0"/>
        <w:ind w:firstLineChars="200" w:firstLine="0"/>
      </w:pPr>
      <w:r>
        <w:rPr>
          <w:rFonts w:ascii="Times New Roman" w:hAnsi="Times New Roman" w:eastAsia="宋体"/>
          <w:b w:val="0"/>
          <w:color w:val="000000"/>
          <w:sz w:val="24"/>
        </w:rPr>
        <w:t>理论刻画方面，幻觉已从"现象"上升为可严格分析的"理论对象"。Kalai 与 Vempala 证明任何达到校准要求的语言模型都必然产生幻觉，幻觉率下界与数据分布的长尾性质直接相关；Guo 与 Li 在率失真框架下证明，有限记忆与 log-loss 目标下模型的最优输出分布形如 (1−q*)δ₀ + q*δ_x*，即把比例 q* 的非事实以高置信度映射到与事实相同的输出点，且"拒答"是次优策略。这从信息论层面解释了"教模型说不知道"类训练为何收效有限，并预见了输出面信号对高置信幻觉不可分的事实。该方向的经典源头可追溯至 Shannon 的率失真理论与 Carter 等的成员测试空间下界。</w:t>
      </w:r>
    </w:p>
    <w:p>
      <w:pPr>
        <w:spacing w:line="360" w:lineRule="auto" w:before="0" w:after="0"/>
        <w:ind w:firstLineChars="200" w:firstLine="0"/>
      </w:pPr>
      <w:r>
        <w:rPr>
          <w:rFonts w:ascii="Times New Roman" w:hAnsi="Times New Roman" w:eastAsia="宋体"/>
          <w:b w:val="0"/>
          <w:color w:val="000000"/>
          <w:sz w:val="24"/>
        </w:rPr>
        <w:t>检测方面，国外研究形成三条技术线。输出面置信度方法以最大 token 概率、熵、语义熵、多采样一致性（SelfCheckGPT）、熵产生率（EPR/WEPR）等可观测统计量做判别，零训练成本、不侵入模型，但受制于"失真与事实共享高置信输出点"的结构性限制，对高置信幻觉天然不敏感。内部表示读出方法以 ITI 的 truth direction 为代表，在隐藏状态上拟合"事实方向"并以投影分数判别，相关变体包括 logit lens 与线性探测，分离度通常优于输出面，但需要标注数据拟合方向。采样一致性方法通过多次采样间的语义分歧估计可靠性，与前两类互补。总体上，这些研究在特定基准上报告了较高 AUROC，但评测协议不统一（in-sample 与交叉验证混用、标签口径不一），且跨任务迁移研究不足——检测能力在何种任务上成立、何种任务上失效，缺少系统刻画。</w:t>
      </w:r>
    </w:p>
    <w:p>
      <w:pPr>
        <w:spacing w:line="360" w:lineRule="auto" w:before="0" w:after="0"/>
        <w:ind w:firstLineChars="200" w:firstLine="0"/>
      </w:pPr>
      <w:r>
        <w:rPr>
          <w:rFonts w:ascii="Times New Roman" w:hAnsi="Times New Roman" w:eastAsia="宋体"/>
          <w:b w:val="0"/>
          <w:color w:val="000000"/>
          <w:sz w:val="24"/>
        </w:rPr>
        <w:t>干预方面，研究分为推理时与训练时两条主线。推理时干预中，ITI 与 RepE 沿"事实方向"平移隐藏状态，DoLa 对比浅层与深层 logits 修正解码，ROME 定位事实关联做定点编辑——这些方法在特定任务上有效，但泛化性差，且缺乏"推理时干预容量上界"的理论刻画，零效应与正效应无法从理论上区分。训练时干预以 RLHF 及其简化形式 DPO、SFT 微调为主流，其共性问题是修正幻觉的同时引入灾难性遗忘——"防遗忘"与"修正"的量化权衡始终未被系统刻画，这也是本课题训练时工作的直接切入点。</w:t>
      </w:r>
    </w:p>
    <w:p>
      <w:pPr>
        <w:spacing w:line="360" w:lineRule="auto" w:before="180" w:after="180"/>
      </w:pPr>
      <w:r>
        <w:rPr>
          <w:rFonts w:ascii="Times New Roman" w:hAnsi="Times New Roman" w:eastAsia="黑体"/>
          <w:b w:val="0"/>
          <w:color w:val="000000"/>
          <w:sz w:val="28"/>
        </w:rPr>
        <w:t>2.2 国内研究现状</w:t>
      </w:r>
    </w:p>
    <w:p>
      <w:pPr>
        <w:spacing w:line="360" w:lineRule="auto" w:before="0" w:after="0"/>
        <w:ind w:firstLineChars="200" w:firstLine="0"/>
      </w:pPr>
      <w:r>
        <w:rPr>
          <w:rFonts w:ascii="Times New Roman" w:hAnsi="Times New Roman" w:eastAsia="宋体"/>
          <w:b w:val="0"/>
          <w:color w:val="000000"/>
          <w:sz w:val="24"/>
        </w:rPr>
        <w:t>国内学者在幻觉评测资源建设方面贡献突出。西湖大学张岳团队等的综述工作《Siren's Song in the AI Ocean》对幻觉的成因分类、评测方法与缓解技术做了迄今最系统的梳理，并指出评测基准与真实场景之间的鸿沟。评测基准方面，中国人民大学提出的 HaluEval 是首个大规模、覆盖问答/对话/摘要等多任务类别的幻觉评测基准；复旦大学与上海人工智能实验室等提出的 HalluQA 聚焦中文大模型的事实性幻觉评测，填补了中文场景的资源空白；UHGEval 面向无约束生成场景开展中文幻觉评估（ACL 2024）。三者分别从通用幻觉、中文事实性、无约束生成三个角度推进了评测标准化。</w:t>
      </w:r>
    </w:p>
    <w:p>
      <w:pPr>
        <w:spacing w:line="360" w:lineRule="auto" w:before="0" w:after="0"/>
        <w:ind w:firstLineChars="200" w:firstLine="0"/>
      </w:pPr>
      <w:r>
        <w:rPr>
          <w:rFonts w:ascii="Times New Roman" w:hAnsi="Times New Roman" w:eastAsia="宋体"/>
          <w:b w:val="0"/>
          <w:color w:val="000000"/>
          <w:sz w:val="24"/>
        </w:rPr>
        <w:t>干预与缓解方面，中国科学院计算技术研究所提出的 TruthX 在"真实空间"内编辑大模型内部表征，是推理时幻觉干预的国内代表工作（ACL 2024）；训练时缓解方面，国内工业界与开源社区贡献显著，通义千问（Qwen）、书生（InternLM）、智谱（GLM）等国产开源模型为可控、可复现的幻觉研究提供了基础设施。总体来看，国内在幻觉评测上已处于国际前列，但在机制级分析与干预界限理论方面相对薄弱，检测、干预与理论之间的整合不足——这既是本课题的切入点，也说明该方向在国内有较大研究空间。</w:t>
      </w:r>
    </w:p>
    <w:p>
      <w:pPr>
        <w:spacing w:line="360" w:lineRule="auto" w:before="180" w:after="180"/>
      </w:pPr>
      <w:r>
        <w:rPr>
          <w:rFonts w:ascii="Times New Roman" w:hAnsi="Times New Roman" w:eastAsia="黑体"/>
          <w:b w:val="0"/>
          <w:color w:val="000000"/>
          <w:sz w:val="28"/>
        </w:rPr>
        <w:t>2.3 国内外文献综述的简析</w:t>
      </w:r>
    </w:p>
    <w:p>
      <w:pPr>
        <w:spacing w:line="360" w:lineRule="auto" w:before="0" w:after="0"/>
        <w:ind w:firstLineChars="200" w:firstLine="0"/>
      </w:pPr>
      <w:r>
        <w:rPr>
          <w:rFonts w:ascii="Times New Roman" w:hAnsi="Times New Roman" w:eastAsia="宋体"/>
          <w:b w:val="0"/>
          <w:color w:val="000000"/>
          <w:sz w:val="24"/>
        </w:rPr>
        <w:t>综合来看，幻觉研究已走过"发现现象—罗列缓解技巧"的早期阶段，进入"机制分析—理论刻画"的深化期：检测研究形成"输出面—内部表示—采样一致性"的完整方法谱系，且实证表明内部表示读出普遍优于输出面信号；干预研究积累了十余种推理时范式与多种训练时方案，明确了推理时方向干预与训练时偏好优化两条主线的可行边界；理论工作则把幻觉从经验问题提升为可证明的最优行为，为整个领域提供了分析语言。但现有研究仍存在五个方面的不足：其一，检测与干预研究彼此割裂，缺少把二者置于同一信息论框架下统一分析的尝试，率失真框架刚刚出现，且尚未给出到达理论前沿的训练算法；其二，评估协议脆弱的问题普遍存在，in-sample 评测、模糊匹配标签、prompt 完整性缺陷广泛见于已发表结论，导致不同工作的结论可比性差；其三，推理时干预缺乏容量上界理论，十余种范式的零效应究竟是实现问题还是结构性界限，文献无法回答；其四，训练时干预的"防遗忘—修正"权衡缺少可复现的量化工作点；其五，多数研究在英文多选任务上验证，面向开放生成与中文场景的系统性研究不足。</w:t>
      </w:r>
    </w:p>
    <w:p>
      <w:pPr>
        <w:spacing w:line="360" w:lineRule="auto" w:before="0" w:after="0"/>
        <w:ind w:firstLineChars="200" w:firstLine="0"/>
      </w:pPr>
      <w:r>
        <w:rPr>
          <w:rFonts w:ascii="Times New Roman" w:hAnsi="Times New Roman" w:eastAsia="宋体"/>
          <w:b w:val="0"/>
          <w:color w:val="000000"/>
          <w:sz w:val="24"/>
        </w:rPr>
        <w:t>针对上述不足，本课题的定位是：以率失真框架统一检测与干预的研究叙事，将检测能力建模为"失真与事实在观测面上的可分度"、将干预建模为"固定速率下的失真削减"；探索推理时干预容量的理论刻画并用系统实验检验；在训练时修正方向给出防遗忘与修正的量化权衡曲线；同时以标准化评测协议的方法论建设回应评估脆弱问题。</w:t>
      </w:r>
    </w:p>
    <w:p>
      <w:pPr>
        <w:spacing w:line="360" w:lineRule="auto" w:before="200" w:after="200"/>
      </w:pPr>
      <w:r>
        <w:rPr>
          <w:rFonts w:ascii="Times New Roman" w:hAnsi="Times New Roman" w:eastAsia="黑体"/>
          <w:b w:val="0"/>
          <w:color w:val="000000"/>
          <w:sz w:val="30"/>
        </w:rPr>
        <w:t>参考文献（第 1-2 部分引用；格式按学校模板最终调整）</w:t>
      </w:r>
    </w:p>
    <w:p>
      <w:pPr>
        <w:spacing w:line="360" w:lineRule="auto" w:before="0" w:after="0"/>
        <w:ind w:left="482" w:hanging="482"/>
      </w:pPr>
      <w:r>
        <w:rPr>
          <w:rFonts w:ascii="Times New Roman" w:hAnsi="Times New Roman" w:eastAsia="宋体"/>
          <w:b w:val="0"/>
          <w:color w:val="000000"/>
          <w:sz w:val="24"/>
        </w:rPr>
        <w:t>[1] Guo A., Li J. Hallucination is a Consequence of Space-Optimality: A Rate-Distortion Theorem for Membership Testing. arXiv:2602.00906, ICML 2026.</w:t>
      </w:r>
    </w:p>
    <w:p>
      <w:pPr>
        <w:spacing w:line="360" w:lineRule="auto" w:before="0" w:after="0"/>
        <w:ind w:left="482" w:hanging="482"/>
      </w:pPr>
      <w:r>
        <w:rPr>
          <w:rFonts w:ascii="Times New Roman" w:hAnsi="Times New Roman" w:eastAsia="宋体"/>
          <w:b w:val="0"/>
          <w:color w:val="000000"/>
          <w:sz w:val="24"/>
        </w:rPr>
        <w:t>[2] Kalai A. T., Vempala S. S. Calibrated Language Models Must Hallucinate. In Proc. of STOC, 2024.</w:t>
      </w:r>
    </w:p>
    <w:p>
      <w:pPr>
        <w:spacing w:line="360" w:lineRule="auto" w:before="0" w:after="0"/>
        <w:ind w:left="482" w:hanging="482"/>
      </w:pPr>
      <w:r>
        <w:rPr>
          <w:rFonts w:ascii="Times New Roman" w:hAnsi="Times New Roman" w:eastAsia="宋体"/>
          <w:b w:val="0"/>
          <w:color w:val="000000"/>
          <w:sz w:val="24"/>
        </w:rPr>
        <w:t>[3] Shannon C. E. Coding Theorems for a Discrete Source with a Fidelity Criterion. IRE National Convention Record, 1959.</w:t>
      </w:r>
    </w:p>
    <w:p>
      <w:pPr>
        <w:spacing w:line="360" w:lineRule="auto" w:before="0" w:after="0"/>
        <w:ind w:left="482" w:hanging="482"/>
      </w:pPr>
      <w:r>
        <w:rPr>
          <w:rFonts w:ascii="Times New Roman" w:hAnsi="Times New Roman" w:eastAsia="宋体"/>
          <w:b w:val="0"/>
          <w:color w:val="000000"/>
          <w:sz w:val="24"/>
        </w:rPr>
        <w:t>[4] Carter L., Floyd R., Gill J., Markowsky G., Wegman M. Exact and Approximate Membership Testers. In Proc. of STOC, 1978.</w:t>
      </w:r>
    </w:p>
    <w:p>
      <w:pPr>
        <w:spacing w:line="360" w:lineRule="auto" w:before="0" w:after="0"/>
        <w:ind w:left="482" w:hanging="482"/>
      </w:pPr>
      <w:r>
        <w:rPr>
          <w:rFonts w:ascii="Times New Roman" w:hAnsi="Times New Roman" w:eastAsia="宋体"/>
          <w:b w:val="0"/>
          <w:color w:val="000000"/>
          <w:sz w:val="24"/>
        </w:rPr>
        <w:t>[5] Moslonka T., et al. Entropy Production Rate (EPR/WEPR) Hallucination Detector. 2025.</w:t>
      </w:r>
    </w:p>
    <w:p>
      <w:pPr>
        <w:spacing w:line="360" w:lineRule="auto" w:before="0" w:after="0"/>
        <w:ind w:left="482" w:hanging="482"/>
      </w:pPr>
      <w:r>
        <w:rPr>
          <w:rFonts w:ascii="Times New Roman" w:hAnsi="Times New Roman" w:eastAsia="宋体"/>
          <w:b w:val="0"/>
          <w:color w:val="000000"/>
          <w:sz w:val="24"/>
        </w:rPr>
        <w:t>[6] Manakul P., Liusie A., Gales M. J. F. SelfCheckGPT: Zero-Resource Black-Box Hallucination Detection for Generative Large Language Models. In Proc. of EMNLP, 2023.</w:t>
      </w:r>
    </w:p>
    <w:p>
      <w:pPr>
        <w:spacing w:line="360" w:lineRule="auto" w:before="0" w:after="0"/>
        <w:ind w:left="482" w:hanging="482"/>
      </w:pPr>
      <w:r>
        <w:rPr>
          <w:rFonts w:ascii="Times New Roman" w:hAnsi="Times New Roman" w:eastAsia="宋体"/>
          <w:b w:val="0"/>
          <w:color w:val="000000"/>
          <w:sz w:val="24"/>
        </w:rPr>
        <w:t>[7] Farquhar S., Kossen J., Kuhn L., Gal Y. Detecting Hallucinations in Large Language Models Using Semantic Entropy. Nature, 2024.</w:t>
      </w:r>
    </w:p>
    <w:p>
      <w:pPr>
        <w:spacing w:line="360" w:lineRule="auto" w:before="0" w:after="0"/>
        <w:ind w:left="482" w:hanging="482"/>
      </w:pPr>
      <w:r>
        <w:rPr>
          <w:rFonts w:ascii="Times New Roman" w:hAnsi="Times New Roman" w:eastAsia="宋体"/>
          <w:b w:val="0"/>
          <w:color w:val="000000"/>
          <w:sz w:val="24"/>
        </w:rPr>
        <w:t>[8] Li K., Patel O., Viégas F., Pfister H., Wattenberg M. Inference-Time Intervention: Eliciting Truthful Answers from a Language Model. In Proc. of NeurIPS, 2023.</w:t>
      </w:r>
    </w:p>
    <w:p>
      <w:pPr>
        <w:spacing w:line="360" w:lineRule="auto" w:before="0" w:after="0"/>
        <w:ind w:left="482" w:hanging="482"/>
      </w:pPr>
      <w:r>
        <w:rPr>
          <w:rFonts w:ascii="Times New Roman" w:hAnsi="Times New Roman" w:eastAsia="宋体"/>
          <w:b w:val="0"/>
          <w:color w:val="000000"/>
          <w:sz w:val="24"/>
        </w:rPr>
        <w:t>[9] Zou A., et al. Representation Engineering: A Top-Down Approach to AI Transparency. arXiv, 2023.</w:t>
      </w:r>
    </w:p>
    <w:p>
      <w:pPr>
        <w:spacing w:line="360" w:lineRule="auto" w:before="0" w:after="0"/>
        <w:ind w:left="482" w:hanging="482"/>
      </w:pPr>
      <w:r>
        <w:rPr>
          <w:rFonts w:ascii="Times New Roman" w:hAnsi="Times New Roman" w:eastAsia="宋体"/>
          <w:b w:val="0"/>
          <w:color w:val="000000"/>
          <w:sz w:val="24"/>
        </w:rPr>
        <w:t>[10] Chuang Y.-S., Xie Y., Luo H., Kim Y., Glass J., He P. DoLa: Decoding by Contrasting Layers Improves Factuality in Large Language Models. In Proc. of ICLR, 2024.</w:t>
      </w:r>
    </w:p>
    <w:p>
      <w:pPr>
        <w:spacing w:line="360" w:lineRule="auto" w:before="0" w:after="0"/>
        <w:ind w:left="482" w:hanging="482"/>
      </w:pPr>
      <w:r>
        <w:rPr>
          <w:rFonts w:ascii="Times New Roman" w:hAnsi="Times New Roman" w:eastAsia="宋体"/>
          <w:b w:val="0"/>
          <w:color w:val="000000"/>
          <w:sz w:val="24"/>
        </w:rPr>
        <w:t>[11] Meng K., Bau D., Andonian A., Belinkov Y. Locating and Editing Factual Associations in GPT. In Proc. of NeurIPS, 2022.</w:t>
      </w:r>
    </w:p>
    <w:p>
      <w:pPr>
        <w:spacing w:line="360" w:lineRule="auto" w:before="0" w:after="0"/>
        <w:ind w:left="482" w:hanging="482"/>
      </w:pPr>
      <w:r>
        <w:rPr>
          <w:rFonts w:ascii="Times New Roman" w:hAnsi="Times New Roman" w:eastAsia="宋体"/>
          <w:b w:val="0"/>
          <w:color w:val="000000"/>
          <w:sz w:val="24"/>
        </w:rPr>
        <w:t>[12] Rafailov R., Sharma A., Mitchell E., Manning C. D., Ermon S., Finn C. Direct Preference Optimization: Your Language Model Is Secretly a Reward Model. In Proc. of NeurIPS, 2023.</w:t>
      </w:r>
    </w:p>
    <w:p>
      <w:pPr>
        <w:spacing w:line="360" w:lineRule="auto" w:before="0" w:after="0"/>
        <w:ind w:left="482" w:hanging="482"/>
      </w:pPr>
      <w:r>
        <w:rPr>
          <w:rFonts w:ascii="Times New Roman" w:hAnsi="Times New Roman" w:eastAsia="宋体"/>
          <w:b w:val="0"/>
          <w:color w:val="000000"/>
          <w:sz w:val="24"/>
        </w:rPr>
        <w:t>[13] Zhang Y., Li Y., Cui L., et al. Siren's Song in the AI Ocean: A Survey on Hallucination in Large Language Models. In Findings of NAACL, 2024.</w:t>
      </w:r>
    </w:p>
    <w:p>
      <w:pPr>
        <w:spacing w:line="360" w:lineRule="auto" w:before="0" w:after="0"/>
        <w:ind w:left="482" w:hanging="482"/>
      </w:pPr>
      <w:r>
        <w:rPr>
          <w:rFonts w:ascii="Times New Roman" w:hAnsi="Times New Roman" w:eastAsia="宋体"/>
          <w:b w:val="0"/>
          <w:color w:val="000000"/>
          <w:sz w:val="24"/>
        </w:rPr>
        <w:t>[14] Li J., Cheng X., Zhao W. X., Nie J.-Y., Wen J.-R. HaluEval: A Large-Scale Hallucination Evaluation Benchmark for Large Language Models. In Proc. of EMNLP, 2023.</w:t>
      </w:r>
    </w:p>
    <w:p>
      <w:pPr>
        <w:spacing w:line="360" w:lineRule="auto" w:before="0" w:after="0"/>
        <w:ind w:left="482" w:hanging="482"/>
      </w:pPr>
      <w:r>
        <w:rPr>
          <w:rFonts w:ascii="Times New Roman" w:hAnsi="Times New Roman" w:eastAsia="宋体"/>
          <w:b w:val="0"/>
          <w:color w:val="000000"/>
          <w:sz w:val="24"/>
        </w:rPr>
        <w:t>[15] Cheng Q., Sun T., Zhang W., et al. Evaluating Hallucinations in Chinese Large Language Models (HalluQA). arXiv:2310.03368.</w:t>
      </w:r>
    </w:p>
    <w:p>
      <w:pPr>
        <w:spacing w:line="360" w:lineRule="auto" w:before="0" w:after="0"/>
        <w:ind w:left="482" w:hanging="482"/>
      </w:pPr>
      <w:r>
        <w:rPr>
          <w:rFonts w:ascii="Times New Roman" w:hAnsi="Times New Roman" w:eastAsia="宋体"/>
          <w:b w:val="0"/>
          <w:color w:val="000000"/>
          <w:sz w:val="24"/>
        </w:rPr>
        <w:t>[16] Liang X., et al. UHGEval: Benchmarking the Hallucination of Chinese Large Language Models via Unconstrained Generation. In Proc. of ACL, 2024.</w:t>
      </w:r>
    </w:p>
    <w:p>
      <w:pPr>
        <w:spacing w:line="360" w:lineRule="auto" w:before="0" w:after="0"/>
        <w:ind w:left="482" w:hanging="482"/>
      </w:pPr>
      <w:r>
        <w:rPr>
          <w:rFonts w:ascii="Times New Roman" w:hAnsi="Times New Roman" w:eastAsia="宋体"/>
          <w:b w:val="0"/>
          <w:color w:val="000000"/>
          <w:sz w:val="24"/>
        </w:rPr>
        <w:t>[17] Zhang S., Yu T., Feng Y. TruthX: Alleviating Hallucinations by Editing Large Language Models in Truthful Space. In Proc. of ACL, 2024.</w:t>
      </w:r>
    </w:p>
    <w:sectPr w:rsidR="00FC693F" w:rsidRPr="0006063C" w:rsidSect="00034616">
      <w:headerReference w:type="default" r:id="rId9"/>
      <w:pgSz w:w="11906" w:h="16838"/>
      <w:pgMar w:top="1440" w:right="1803" w:bottom="1440" w:left="1803"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