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3.3.1 推理时干预的研究内容</w:t>
      </w:r>
    </w:p>
    <w:p>
      <w:pPr>
        <w:spacing w:line="300" w:lineRule="auto" w:before="0" w:after="0"/>
      </w:pPr>
      <w:r>
        <w:rPr>
          <w:rFonts w:ascii="Times New Roman" w:hAnsi="Times New Roman" w:eastAsia="宋体"/>
          <w:b w:val="0"/>
          <w:color w:val="000000"/>
          <w:sz w:val="24"/>
        </w:rPr>
        <w:t>3.3.2 训练时干预的研究内容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（1）输出面置信度信号的可分性研究。拟系统考察四类输出面统计量的检测能力：最大 token 概率（max_p，生成序列上最高解码概率的统计量）、输出分布熵（对 logits 分布的信息熵）、语义熵（多次采样后按语义等价类聚类再计算类间熵）、熵产生率（EPR，逐 token 熵变化的累积量）。判别方式采用单特征阈值判别与多特征逻辑回归联合判别两种；评测以 AUROC 为主指标。该部分一方面检验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（2）内部状态线性读出研究。拟研究三类隐藏状态读出方法的检测能力：truth direction 方向投影——在训练折内以正确/错误样本隐藏状态的均值差拟合方向 v = μ⁺ − μ⁻，再以投影分数 v·h 判别测试样本；logit lens——对任意中间层 ℓ 的隐藏状态施加最终层归一化后经解嵌矩阵读出 logits（W_U·RMSNorm(h_ℓ)），以答案 token 的读出分数为信号；逐层线性探测——对每一层的隐藏状态训练逻辑回归探针。实验拟刻画逐层分离度谱系，回答"失真与事实的分离信息保留在哪些层、以何种强度保留"，并与输出面信号系统对比，检验"内部状态保留部分分离信息、输出时被部分坍缩"这一理论预测。检测性能以 AUROC 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四选一常识推理，检测对象为"错误选项的置信度"）与开放生成任务（短答案问答，检测对象为"生成答案的正确性"）上对比检测强度；跨任务迁移实验拟将在一个任务上拟合的检测方向/探针直接迁移到另一任务评测，检验检测器的泛化性。由此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（4）标准化评测协议。为保证上述结论的可比性与可复现性，全部检测实验拟遵循统一的协议规范：标签采用词边界感知的 exact 匹配口径（排除上下文照抄型假阳性）；评测采用分层 5 折交叉验证，检测方向/探针一律在训练折内拟合；输入 prompt 完整保留问题部分（上下文截断只作用于检索上下文）；所有超参数在 held-out 校验集上选择，测试集仅报告；区间估计采用 Clopper-Pearson 置信区间。该协议同时作为本课题全部检测结论的方法论约束。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pPr>
      <w:r>
        <w:rPr>
          <w:rFonts w:ascii="Times New Roman" w:hAnsi="Times New Roman" w:eastAsia="黑体"/>
          <w:b w:val="0"/>
          <w:color w:val="000000"/>
          <w:sz w:val="24"/>
        </w:rPr>
        <w:t>3.3.1 推理时干预的研究内容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（1）推理时干预容量的理论刻画。拟在率失真框架下分析不修改模型参数的译码器的纠错容量，形式化如下：干预为对隐藏状态或 logits 的映射 h ← h + α·v(x)（v 为干预方向，α 为强度）；译码器 D 定义为从模型输出到答案序列的确定性映射；译码器的增益定义为 C(θ, 𝒟, D) − C(θ, 𝒟)（θ 为固定模型参数、𝒟 为评测数据集、D 为译码器、C(θ, 𝒟) 为贪婪基线正确率），即相对贪婪基线的正确率提升。重点研究两个问题：当 v 为不依赖输入的固定方向时，是否存在无法纠正的输入依赖错误模式（即固定方向干预的容量）；一般译码器的增益是否存在可界定的上界。研究将覆盖三类典型译码器——固定方向激活干预、层间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的机制分析。该类方法在每步解码时以早期退出层的 logits 修正最终层 logits：l_combined = l_L + β·(l_ℓ* − l_L)，其中 ℓ* 为检测峰值层、β∈[0.01, 0.2] 为插值系数。机制分析拟在生成过程的每一步同时捕获早期层与最终层的 logits，统计两类量：干预对正确答案 token 的 logit 增量（Δ_y_true）、干预对最终层 argmax（错误候选）的 logit 增量（Δ_distractor），并记录每次 argmax 翻转发生的步数与翻转方向。据此区分该方法的两种效应来源：可解释的惩罚机制（如对"被后期层过度放大的错误 token"的不对称惩罚，表现为 Δ_distractor 显著为负且集中于错误候选），或解码轨迹对微小扰动的混沌放大（表现为翻转随机分布、与正确性无关）。该定案为推理时干预界限提供机制级证据，并决定该方法在论文中的定位。</w:t>
      </w:r>
    </w:p>
    <w:p>
      <w:pPr>
        <w:spacing w:line="360" w:lineRule="auto" w:before="0" w:after="0"/>
      </w:pPr>
      <w:r>
        <w:rPr>
          <w:rFonts w:ascii="Times New Roman" w:hAnsi="Times New Roman" w:eastAsia="黑体"/>
          <w:b w:val="0"/>
          <w:color w:val="000000"/>
          <w:sz w:val="24"/>
        </w:rPr>
        <w:t>3.3.2 训练时干预的研究内容</w:t>
      </w:r>
    </w:p>
    <w:p>
      <w:pPr>
        <w:spacing w:line="360" w:lineRule="auto" w:before="0" w:after="0"/>
        <w:ind w:firstLineChars="200" w:firstLine="0"/>
      </w:pPr>
      <w:r>
        <w:rPr>
          <w:rFonts w:ascii="Times New Roman" w:hAnsi="Times New Roman" w:eastAsia="宋体"/>
          <w:b w:val="0"/>
          <w:color w:val="000000"/>
          <w:sz w:val="24"/>
        </w:rPr>
        <w:t>（1）训练时修正的权衡优化。拟研究修改参数路径上"防遗忘"与"幻觉修正"的量化权衡。方法上：以小规模训练集上的低秩适配（LoRA）微调模型深层注意力模块（秩 r=8、缩放 α=16、目标模块为查询/值投影、覆盖末 8 层）；以 KL 正则化约束微调幅度——在答案区域窗口内计算基模型与微调模型的输出分布 KL 散度并加入训练目标，使正则化强度 β 成为"修正"与"防遗忘"之间的显式旋钮。实验设计：正则化强度与训练数据密度两个维度的扫描，以 held-out 校验集选择工作点；评价指标为 KW 修正量（被修对的"知道但答错"样本数）、KC 退化量（被改坏的"知道且答对"样本数）与净效应 net = KW 修正 − KC 退化；据此刻画修正—遗忘替换曲线，寻找净效应为正的工作点，并与纯微调基线系统对比。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（2）跨规模泛化验证。拟在更大规模的模型（8B）上以同一协议复跑训练时修正的关键工作点，并复跑检测任务依赖性结论，检验上述结论的跨规模泛化性，明确各项结论的适用边界。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0.77、表面特征仅 0.61-0.63，跨任务迁移仅 0.54-0.66；知识筛选验证显示开放生成任务的 0.77 在 1.7B 模型上可能已达天花板（规模维度待 8B 重跑验证）而非"无知"污染。上述结果构成了"检测任务依赖性"的完整证据链。</w:t>
      </w:r>
    </w:p>
    <w:p>
      <w:pPr>
        <w:spacing w:line="240" w:lineRule="auto" w:before="120" w:after="0"/>
        <w:jc w:val="center"/>
      </w:pPr>
      <w:r>
        <w:drawing>
          <wp:inline xmlns:a="http://schemas.openxmlformats.org/drawingml/2006/main" xmlns:pic="http://schemas.openxmlformats.org/drawingml/2006/picture">
            <wp:extent cx="5220000" cy="2791967"/>
            <wp:docPr id="1" name="Picture 1"/>
            <wp:cNvGraphicFramePr>
              <a:graphicFrameLocks noChangeAspect="1"/>
            </wp:cNvGraphicFramePr>
            <a:graphic>
              <a:graphicData uri="http://schemas.openxmlformats.org/drawingml/2006/picture">
                <pic:pic>
                  <pic:nvPicPr>
                    <pic:cNvPr id="0" name="fig_detection_layers.png"/>
                    <pic:cNvPicPr/>
                  </pic:nvPicPr>
                  <pic:blipFill>
                    <a:blip r:embed="rId10"/>
                    <a:stretch>
                      <a:fillRect/>
                    </a:stretch>
                  </pic:blipFill>
                  <pic:spPr>
                    <a:xfrm>
                      <a:off x="0" y="0"/>
                      <a:ext cx="5220000" cy="2791967"/>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5.1 逐层线性探测的检测 AUROC（TriviaQA，5 折交叉验证）</w:t>
      </w:r>
    </w:p>
    <w:p>
      <w:pPr>
        <w:spacing w:line="360" w:lineRule="auto" w:before="0" w:after="0"/>
        <w:ind w:firstLineChars="200" w:firstLine="0"/>
      </w:pPr>
      <w:r>
        <w:rPr>
          <w:rFonts w:ascii="Times New Roman" w:hAnsi="Times New Roman" w:eastAsia="宋体"/>
          <w:b w:val="0"/>
          <w:color w:val="000000"/>
          <w:sz w:val="24"/>
        </w:rPr>
        <w:t>图 5.1 展示逐层线性探测的检测 AUROC（5 折交叉验证）。检测强度随层深总体上升，在 L26 达峰值 0.7708（±0.056）；truth direction 方向投影在 L18 达 0.7564，与线性探测处于同一水平；浅层（L0-L8）信号接近随机。说明开放生成任务上"是否知道答案"的信息以线性可读的方向编码于中后层内部表示，这是内部状态检测信号存在性的直接证据。</w:t>
      </w:r>
    </w:p>
    <w:p>
      <w:pPr>
        <w:spacing w:line="240" w:lineRule="auto" w:before="120" w:after="0"/>
        <w:jc w:val="center"/>
      </w:pPr>
      <w:r>
        <w:drawing>
          <wp:inline xmlns:a="http://schemas.openxmlformats.org/drawingml/2006/main" xmlns:pic="http://schemas.openxmlformats.org/drawingml/2006/picture">
            <wp:extent cx="5220000" cy="3843678"/>
            <wp:docPr id="2" name="Picture 2"/>
            <wp:cNvGraphicFramePr>
              <a:graphicFrameLocks noChangeAspect="1"/>
            </wp:cNvGraphicFramePr>
            <a:graphic>
              <a:graphicData uri="http://schemas.openxmlformats.org/drawingml/2006/picture">
                <pic:pic>
                  <pic:nvPicPr>
                    <pic:cNvPr id="0" name="fig_detection_rankfilter.png"/>
                    <pic:cNvPicPr/>
                  </pic:nvPicPr>
                  <pic:blipFill>
                    <a:blip r:embed="rId11"/>
                    <a:stretch>
                      <a:fillRect/>
                    </a:stretch>
                  </pic:blipFill>
                  <pic:spPr>
                    <a:xfrm>
                      <a:off x="0" y="0"/>
                      <a:ext cx="5220000" cy="3843678"/>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5.2 知识秩筛选分组的检测 AUROC（rank≤20/50/100 与全样本）</w:t>
      </w:r>
    </w:p>
    <w:p>
      <w:pPr>
        <w:spacing w:line="360" w:lineRule="auto" w:before="0" w:after="0"/>
        <w:ind w:firstLineChars="200" w:firstLine="0"/>
      </w:pPr>
      <w:r>
        <w:rPr>
          <w:rFonts w:ascii="Times New Roman" w:hAnsi="Times New Roman" w:eastAsia="宋体"/>
          <w:b w:val="0"/>
          <w:color w:val="000000"/>
          <w:sz w:val="24"/>
        </w:rPr>
        <w:t>图 5.2 显示按最终层知识秩筛选样本（rank≤20/50/100）后，最佳层 AUROC 与全样本基本持平（0.7869±0.147 / 0.7664 / 0.7172，全样本 0.7708），筛选无增益。对比 HellaSwag 上同类筛选可使 AUROC 提升约 0.19，机制解释为：TriviaQA 的检测信号来自内部状态线性方向、本身已隐含知识信息，按"知道程度"筛选不改变其判别力；HellaSwag 的信号来自输出面 max_p、受"无知但低置信"污染，筛选可剔除污染。该结果支持 0.77 为 1.7B 上可能的天花板（规模维度待 8B 重跑验证），而非"无知"污染所致。</w:t>
      </w:r>
    </w:p>
    <w:p>
      <w:pPr>
        <w:spacing w:line="240" w:lineRule="auto" w:before="120" w:after="0"/>
        <w:jc w:val="center"/>
      </w:pPr>
      <w:r>
        <w:drawing>
          <wp:inline xmlns:a="http://schemas.openxmlformats.org/drawingml/2006/main" xmlns:pic="http://schemas.openxmlformats.org/drawingml/2006/picture">
            <wp:extent cx="5220000" cy="3687319"/>
            <wp:docPr id="3" name="Picture 3"/>
            <wp:cNvGraphicFramePr>
              <a:graphicFrameLocks noChangeAspect="1"/>
            </wp:cNvGraphicFramePr>
            <a:graphic>
              <a:graphicData uri="http://schemas.openxmlformats.org/drawingml/2006/picture">
                <pic:pic>
                  <pic:nvPicPr>
                    <pic:cNvPr id="0" name="fig_detection_task.png"/>
                    <pic:cNvPicPr/>
                  </pic:nvPicPr>
                  <pic:blipFill>
                    <a:blip r:embed="rId12"/>
                    <a:stretch>
                      <a:fillRect/>
                    </a:stretch>
                  </pic:blipFill>
                  <pic:spPr>
                    <a:xfrm>
                      <a:off x="0" y="0"/>
                      <a:ext cx="5220000" cy="3687319"/>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5.3 检测能力跨数据集对照（HellaSwag 与 TriviaQA）</w:t>
      </w:r>
    </w:p>
    <w:p>
      <w:pPr>
        <w:spacing w:line="360" w:lineRule="auto" w:before="0" w:after="0"/>
        <w:ind w:firstLineChars="200" w:firstLine="0"/>
      </w:pPr>
      <w:r>
        <w:rPr>
          <w:rFonts w:ascii="Times New Roman" w:hAnsi="Times New Roman" w:eastAsia="宋体"/>
          <w:b w:val="0"/>
          <w:color w:val="000000"/>
          <w:sz w:val="24"/>
        </w:rPr>
        <w:t>图 5.3 在同一模型、同一协议下对比两个任务：多选任务（HellaSwag）上内部表示联合特征 AUROC 达 0.936、表面特征 max_p 达 0.905；开放生成任务（TriviaQA）上内部表示线性读出 0.7708、表面特征联合仅 0.607。检测强度随任务类型剧烈变化，且跨任务迁移仅 0.54-0.66（待协议修复后重测）——这是"检测任务依赖性"结论的直接证据：检测能力不能脱离任务类型泛化，论文将以此为核心 finding。</w:t>
      </w:r>
    </w:p>
    <w:p>
      <w:pPr>
        <w:spacing w:line="360" w:lineRule="auto" w:before="180" w:after="180"/>
      </w:pPr>
      <w:r>
        <w:rPr>
          <w:rFonts w:ascii="Times New Roman" w:hAnsi="Times New Roman" w:eastAsia="黑体"/>
          <w:b w:val="0"/>
          <w:color w:val="000000"/>
          <w:sz w:val="28"/>
        </w:rPr>
        <w:t>5.2 推理时干预方向（TLDC 弱干预效应已定案）</w:t>
      </w:r>
    </w:p>
    <w:p>
      <w:pPr>
        <w:spacing w:line="360" w:lineRule="auto" w:before="0" w:after="0"/>
        <w:ind w:firstLineChars="200" w:firstLine="0"/>
      </w:pPr>
      <w:r>
        <w:rPr>
          <w:rFonts w:ascii="Times New Roman" w:hAnsi="Times New Roman" w:eastAsia="宋体"/>
          <w:b w:val="0"/>
          <w:color w:val="000000"/>
          <w:sz w:val="24"/>
        </w:rPr>
        <w:t>已完成层间 logit 插值类干预方法（TLDC）的大样本验证（n=600、双 seed）：在"知道但答错"子集上观察到弱正效应（95% 置信区间排除零），并完成逐 token 机制定案（效应伴随对正确答案的代价，机制上属于解码轨迹对扰动的放大）。其余推理时干预范式的系统检验正在按统一协议逐一复核代码与结论，复核完成前其结论不写入本报告。</w:t>
      </w:r>
    </w:p>
    <w:p>
      <w:pPr>
        <w:spacing w:line="240" w:lineRule="auto" w:before="120" w:after="0"/>
        <w:jc w:val="center"/>
      </w:pPr>
      <w:r>
        <w:drawing>
          <wp:inline xmlns:a="http://schemas.openxmlformats.org/drawingml/2006/main" xmlns:pic="http://schemas.openxmlformats.org/drawingml/2006/picture">
            <wp:extent cx="5220000" cy="2912182"/>
            <wp:docPr id="4" name="Picture 4"/>
            <wp:cNvGraphicFramePr>
              <a:graphicFrameLocks noChangeAspect="1"/>
            </wp:cNvGraphicFramePr>
            <a:graphic>
              <a:graphicData uri="http://schemas.openxmlformats.org/drawingml/2006/picture">
                <pic:pic>
                  <pic:nvPicPr>
                    <pic:cNvPr id="0" name="fig_tldc_dose.png"/>
                    <pic:cNvPicPr/>
                  </pic:nvPicPr>
                  <pic:blipFill>
                    <a:blip r:embed="rId13"/>
                    <a:stretch>
                      <a:fillRect/>
                    </a:stretch>
                  </pic:blipFill>
                  <pic:spPr>
                    <a:xfrm>
                      <a:off x="0" y="0"/>
                      <a:ext cx="5220000" cy="2912182"/>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5.4 TLDC 扰动强度 β 的剂量-响应曲线（双 seed）</w:t>
      </w:r>
    </w:p>
    <w:p>
      <w:pPr>
        <w:spacing w:line="360" w:lineRule="auto" w:before="0" w:after="0"/>
        <w:ind w:firstLineChars="200" w:firstLine="0"/>
      </w:pPr>
      <w:r>
        <w:rPr>
          <w:rFonts w:ascii="Times New Roman" w:hAnsi="Times New Roman" w:eastAsia="宋体"/>
          <w:b w:val="0"/>
          <w:color w:val="000000"/>
          <w:sz w:val="24"/>
        </w:rPr>
        <w:t>图 5.4 给出 TLDC 扰动强度 β 的剂量-响应曲线（双 seed，n=300/seed）。"知道但答错"（KW）子集救回率 ΔKW 随 β 单调上升（双 seed 方向一致，β≥0.05 起 CP95 置信区间下界大于零），但"知道且答对"（KC）子集代价 ΔKC 同步恶化（约 -4% 至 -22.5%，呈剂量响应）。不存在单一 β 同时满足"双 seed 的 ΔKW 置信区间下界大于零且 KC 损失小于 5%"：TLDC 的弱正效应统计上真实，但代价昂贵。</w:t>
      </w:r>
    </w:p>
    <w:p>
      <w:pPr>
        <w:spacing w:line="240" w:lineRule="auto" w:before="120" w:after="0"/>
        <w:jc w:val="center"/>
      </w:pPr>
      <w:r>
        <w:drawing>
          <wp:inline xmlns:a="http://schemas.openxmlformats.org/drawingml/2006/main" xmlns:pic="http://schemas.openxmlformats.org/drawingml/2006/picture">
            <wp:extent cx="5220000" cy="2316911"/>
            <wp:docPr id="5" name="Picture 5"/>
            <wp:cNvGraphicFramePr>
              <a:graphicFrameLocks noChangeAspect="1"/>
            </wp:cNvGraphicFramePr>
            <a:graphic>
              <a:graphicData uri="http://schemas.openxmlformats.org/drawingml/2006/picture">
                <pic:pic>
                  <pic:nvPicPr>
                    <pic:cNvPr id="0" name="fig_tldc_bars.png"/>
                    <pic:cNvPicPr/>
                  </pic:nvPicPr>
                  <pic:blipFill>
                    <a:blip r:embed="rId14"/>
                    <a:stretch>
                      <a:fillRect/>
                    </a:stretch>
                  </pic:blipFill>
                  <pic:spPr>
                    <a:xfrm>
                      <a:off x="0" y="0"/>
                      <a:ext cx="5220000" cy="2316911"/>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5.5 TLDC 与基线在 β=0.05 的分组合计准确率（双 seed）</w:t>
      </w:r>
    </w:p>
    <w:p>
      <w:pPr>
        <w:spacing w:line="360" w:lineRule="auto" w:before="0" w:after="0"/>
        <w:ind w:firstLineChars="200" w:firstLine="0"/>
      </w:pPr>
      <w:r>
        <w:rPr>
          <w:rFonts w:ascii="Times New Roman" w:hAnsi="Times New Roman" w:eastAsia="宋体"/>
          <w:b w:val="0"/>
          <w:color w:val="000000"/>
          <w:sz w:val="24"/>
        </w:rPr>
        <w:t>图 5.5 展示 β=0.05（双 seed 的 ΔKW 置信区间下界均大于零的最优工作点）的分组合计：KW 子集从基线 0% 分别救回 4.2% 与 6.2%，KC 子集从 100% 降至 88.2% 与 94.7%，全体准确率变化为 -1.7 与 +3.0 个百分点（seed 异质）。逐 token 机制分析进一步表明：救回样本并非恢复被压制的正确答案秩，而是解码轨迹对扰动的混沌放大（对称 argmax 惩罚、无正确性感知），机制上不可控。据此 TLDC 定案为"统计真实但机制不可控"，论文中定位为推理时扰动探索的机制注脚，不作为干预手段使用。</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240" w:lineRule="auto" w:before="120" w:after="0"/>
        <w:jc w:val="center"/>
      </w:pPr>
      <w:r>
        <w:drawing>
          <wp:inline xmlns:a="http://schemas.openxmlformats.org/drawingml/2006/main" xmlns:pic="http://schemas.openxmlformats.org/drawingml/2006/picture">
            <wp:extent cx="5220000" cy="2930376"/>
            <wp:docPr id="6" name="Picture 6"/>
            <wp:cNvGraphicFramePr>
              <a:graphicFrameLocks noChangeAspect="1"/>
            </wp:cNvGraphicFramePr>
            <a:graphic>
              <a:graphicData uri="http://schemas.openxmlformats.org/drawingml/2006/picture">
                <pic:pic>
                  <pic:nvPicPr>
                    <pic:cNvPr id="0" name="fig_lora_beta_sweep.png"/>
                    <pic:cNvPicPr/>
                  </pic:nvPicPr>
                  <pic:blipFill>
                    <a:blip r:embed="rId15"/>
                    <a:stretch>
                      <a:fillRect/>
                    </a:stretch>
                  </pic:blipFill>
                  <pic:spPr>
                    <a:xfrm>
                      <a:off x="0" y="0"/>
                      <a:ext cx="5220000" cy="2930376"/>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5.6 KL 反遗忘正则化强度 β 扫描</w:t>
      </w:r>
    </w:p>
    <w:p>
      <w:pPr>
        <w:spacing w:line="360" w:lineRule="auto" w:before="0" w:after="0"/>
        <w:ind w:firstLineChars="200" w:firstLine="0"/>
      </w:pPr>
      <w:r>
        <w:rPr>
          <w:rFonts w:ascii="Times New Roman" w:hAnsi="Times New Roman" w:eastAsia="宋体"/>
          <w:b w:val="0"/>
          <w:color w:val="000000"/>
          <w:sz w:val="24"/>
        </w:rPr>
        <w:t>图 5.6 为 KL 反遗忘正则化强度 β 的扫描（n=100/点）：随 β 增大，KC 退化（灾难性遗忘）被持续压制，但 KW 修正量同步下降，净效应（ΔKW+ΔKC）全程为负——"防遗忘"与"干预效果"在该尺度上呈此消彼长关系，未找到净效应转正的工作点。</w:t>
      </w:r>
    </w:p>
    <w:p>
      <w:pPr>
        <w:spacing w:line="240" w:lineRule="auto" w:before="120" w:after="0"/>
        <w:jc w:val="center"/>
      </w:pPr>
      <w:r>
        <w:drawing>
          <wp:inline xmlns:a="http://schemas.openxmlformats.org/drawingml/2006/main" xmlns:pic="http://schemas.openxmlformats.org/drawingml/2006/picture">
            <wp:extent cx="5220000" cy="3539103"/>
            <wp:docPr id="7" name="Picture 7"/>
            <wp:cNvGraphicFramePr>
              <a:graphicFrameLocks noChangeAspect="1"/>
            </wp:cNvGraphicFramePr>
            <a:graphic>
              <a:graphicData uri="http://schemas.openxmlformats.org/drawingml/2006/picture">
                <pic:pic>
                  <pic:nvPicPr>
                    <pic:cNvPr id="0" name="fig_lora_window_kl.png"/>
                    <pic:cNvPicPr/>
                  </pic:nvPicPr>
                  <pic:blipFill>
                    <a:blip r:embed="rId16"/>
                    <a:stretch>
                      <a:fillRect/>
                    </a:stretch>
                  </pic:blipFill>
                  <pic:spPr>
                    <a:xfrm>
                      <a:off x="0" y="0"/>
                      <a:ext cx="5220000" cy="3539103"/>
                    </a:xfrm>
                    <a:prstGeom prst="rect"/>
                  </pic:spPr>
                </pic:pic>
              </a:graphicData>
            </a:graphic>
          </wp:inline>
        </w:drawing>
      </w:r>
    </w:p>
    <w:p>
      <w:pPr>
        <w:spacing w:line="300" w:lineRule="auto" w:before="0" w:after="200"/>
        <w:jc w:val="center"/>
      </w:pPr>
      <w:r>
        <w:rPr>
          <w:rFonts w:ascii="Times New Roman" w:hAnsi="Times New Roman" w:eastAsia="宋体"/>
          <w:b w:val="0"/>
          <w:color w:val="000000"/>
          <w:sz w:val="21"/>
        </w:rPr>
        <w:t>图 5.7 窗口 KL 正则化前后对比（n=1000）</w:t>
      </w:r>
    </w:p>
    <w:p>
      <w:pPr>
        <w:spacing w:line="360" w:lineRule="auto" w:before="0" w:after="0"/>
        <w:ind w:firstLineChars="200" w:firstLine="0"/>
      </w:pPr>
      <w:r>
        <w:rPr>
          <w:rFonts w:ascii="Times New Roman" w:hAnsi="Times New Roman" w:eastAsia="宋体"/>
          <w:b w:val="0"/>
          <w:color w:val="000000"/>
          <w:sz w:val="24"/>
        </w:rPr>
        <w:t>图 5.7 在 n=1000 上对比纯 CE 微调与窗口 KL（β=0.3）：KL 将 KC 退化从 -50 降至 -17（约 3 倍），KW 修正从 +16 降至 +12，净效应从 -34 改善至 -5——防遗忘方向有效，但未形成"双 Gate"（同时满足 KW 修正大于零且 KC 退化可忽略）。该组数字（含 β=0 基线）为评测协议修复前数据，待 P0 重跑确认；下一阶段将沿正则化强度与训练数据密度两个维度寻找净效应转正的工作点。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章（干预）；推理时干预范式代码复核与协议修复重跑；训练时修正权衡实验（寻找净效应转正点）。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