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eastAsia="黑体"/>
          <w:b w:val="0"/>
          <w:color w:val="000000"/>
          <w:sz w:val="44"/>
        </w:rPr>
        <w:t>开题报告（草稿）</w:t>
      </w:r>
    </w:p>
    <w:p>
      <w:pPr>
        <w:spacing w:line="360" w:lineRule="auto" w:before="0" w:after="240"/>
        <w:jc w:val="center"/>
      </w:pPr>
      <w:r>
        <w:rPr>
          <w:rFonts w:ascii="Times New Roman" w:hAnsi="Times New Roman" w:eastAsia="宋体"/>
          <w:b w:val="0"/>
          <w:color w:val="000000"/>
          <w:sz w:val="28"/>
        </w:rPr>
        <w:t>课题名称：率失真视角下大语言模型幻觉的检测与干预</w:t>
      </w:r>
    </w:p>
    <w:p>
      <w:pPr>
        <w:spacing w:line="360" w:lineRule="auto" w:before="200" w:after="200"/>
        <w:jc w:val="center"/>
      </w:pPr>
      <w:r>
        <w:rPr>
          <w:rFonts w:ascii="Times New Roman" w:hAnsi="Times New Roman" w:eastAsia="黑体"/>
          <w:b w:val="0"/>
          <w:color w:val="000000"/>
          <w:sz w:val="30"/>
        </w:rPr>
        <w:t>目　录</w:t>
      </w:r>
    </w:p>
    <w:p>
      <w:pPr>
        <w:spacing w:line="300" w:lineRule="auto" w:before="0" w:after="0"/>
      </w:pPr>
      <w:r>
        <w:rPr>
          <w:rFonts w:ascii="Times New Roman" w:hAnsi="Times New Roman" w:eastAsia="宋体"/>
          <w:b w:val="0"/>
          <w:color w:val="000000"/>
          <w:sz w:val="24"/>
        </w:rPr>
        <w:t>1．课题来源及研究目的和意义</w:t>
      </w:r>
    </w:p>
    <w:p>
      <w:pPr>
        <w:spacing w:line="300" w:lineRule="auto" w:before="0" w:after="0"/>
      </w:pPr>
      <w:r>
        <w:rPr>
          <w:rFonts w:ascii="Times New Roman" w:hAnsi="Times New Roman" w:eastAsia="宋体"/>
          <w:b w:val="0"/>
          <w:color w:val="000000"/>
          <w:sz w:val="24"/>
        </w:rPr>
        <w:t>1.1 课题的来源</w:t>
      </w:r>
    </w:p>
    <w:p>
      <w:pPr>
        <w:spacing w:line="300" w:lineRule="auto" w:before="0" w:after="0"/>
      </w:pPr>
      <w:r>
        <w:rPr>
          <w:rFonts w:ascii="Times New Roman" w:hAnsi="Times New Roman" w:eastAsia="宋体"/>
          <w:b w:val="0"/>
          <w:color w:val="000000"/>
          <w:sz w:val="24"/>
        </w:rPr>
        <w:t>1.2 课题研究目的和意义</w:t>
      </w:r>
    </w:p>
    <w:p>
      <w:pPr>
        <w:spacing w:line="300" w:lineRule="auto" w:before="0" w:after="0"/>
      </w:pPr>
      <w:r>
        <w:rPr>
          <w:rFonts w:ascii="Times New Roman" w:hAnsi="Times New Roman" w:eastAsia="宋体"/>
          <w:b w:val="0"/>
          <w:color w:val="000000"/>
          <w:sz w:val="24"/>
        </w:rPr>
        <w:t>2．国内外研究现状及分析</w:t>
      </w:r>
    </w:p>
    <w:p>
      <w:pPr>
        <w:spacing w:line="300" w:lineRule="auto" w:before="0" w:after="0"/>
      </w:pPr>
      <w:r>
        <w:rPr>
          <w:rFonts w:ascii="Times New Roman" w:hAnsi="Times New Roman" w:eastAsia="宋体"/>
          <w:b w:val="0"/>
          <w:color w:val="000000"/>
          <w:sz w:val="24"/>
        </w:rPr>
        <w:t>2.1 国外研究现状</w:t>
      </w:r>
    </w:p>
    <w:p>
      <w:pPr>
        <w:spacing w:line="300" w:lineRule="auto" w:before="0" w:after="0"/>
      </w:pPr>
      <w:r>
        <w:rPr>
          <w:rFonts w:ascii="Times New Roman" w:hAnsi="Times New Roman" w:eastAsia="宋体"/>
          <w:b w:val="0"/>
          <w:color w:val="000000"/>
          <w:sz w:val="24"/>
        </w:rPr>
        <w:t>2.2 国内研究现状</w:t>
      </w:r>
    </w:p>
    <w:p>
      <w:pPr>
        <w:spacing w:line="300" w:lineRule="auto" w:before="0" w:after="0"/>
      </w:pPr>
      <w:r>
        <w:rPr>
          <w:rFonts w:ascii="Times New Roman" w:hAnsi="Times New Roman" w:eastAsia="宋体"/>
          <w:b w:val="0"/>
          <w:color w:val="000000"/>
          <w:sz w:val="24"/>
        </w:rPr>
        <w:t>2.3 国内外文献综述的简析</w:t>
      </w:r>
    </w:p>
    <w:p>
      <w:pPr>
        <w:spacing w:line="300" w:lineRule="auto" w:before="0" w:after="0"/>
      </w:pPr>
      <w:r>
        <w:rPr>
          <w:rFonts w:ascii="Times New Roman" w:hAnsi="Times New Roman" w:eastAsia="宋体"/>
          <w:b w:val="0"/>
          <w:color w:val="000000"/>
          <w:sz w:val="24"/>
        </w:rPr>
        <w:t>3．主要内容及方案</w:t>
      </w:r>
    </w:p>
    <w:p>
      <w:pPr>
        <w:spacing w:line="300" w:lineRule="auto" w:before="0" w:after="0"/>
      </w:pPr>
      <w:r>
        <w:rPr>
          <w:rFonts w:ascii="Times New Roman" w:hAnsi="Times New Roman" w:eastAsia="宋体"/>
          <w:b w:val="0"/>
          <w:color w:val="000000"/>
          <w:sz w:val="24"/>
        </w:rPr>
        <w:t>3.1 总体思路与检测问题的形式化</w:t>
      </w:r>
    </w:p>
    <w:p>
      <w:pPr>
        <w:spacing w:line="300" w:lineRule="auto" w:before="0" w:after="0"/>
      </w:pPr>
      <w:r>
        <w:rPr>
          <w:rFonts w:ascii="Times New Roman" w:hAnsi="Times New Roman" w:eastAsia="宋体"/>
          <w:b w:val="0"/>
          <w:color w:val="000000"/>
          <w:sz w:val="24"/>
        </w:rPr>
        <w:t>3.2 幻觉检测的研究内容</w:t>
      </w:r>
    </w:p>
    <w:p>
      <w:pPr>
        <w:spacing w:line="300" w:lineRule="auto" w:before="0" w:after="0"/>
      </w:pPr>
      <w:r>
        <w:rPr>
          <w:rFonts w:ascii="Times New Roman" w:hAnsi="Times New Roman" w:eastAsia="宋体"/>
          <w:b w:val="0"/>
          <w:color w:val="000000"/>
          <w:sz w:val="24"/>
        </w:rPr>
        <w:t>3.3 推理时干预与训练时修正的研究内容</w:t>
      </w:r>
    </w:p>
    <w:p>
      <w:pPr>
        <w:spacing w:line="300" w:lineRule="auto" w:before="0" w:after="0"/>
      </w:pPr>
      <w:r>
        <w:rPr>
          <w:rFonts w:ascii="Times New Roman" w:hAnsi="Times New Roman" w:eastAsia="宋体"/>
          <w:b w:val="0"/>
          <w:color w:val="000000"/>
          <w:sz w:val="24"/>
        </w:rPr>
        <w:t>3.3.1 推理时干预的研究内容</w:t>
      </w:r>
    </w:p>
    <w:p>
      <w:pPr>
        <w:spacing w:line="300" w:lineRule="auto" w:before="0" w:after="0"/>
      </w:pPr>
      <w:r>
        <w:rPr>
          <w:rFonts w:ascii="Times New Roman" w:hAnsi="Times New Roman" w:eastAsia="宋体"/>
          <w:b w:val="0"/>
          <w:color w:val="000000"/>
          <w:sz w:val="24"/>
        </w:rPr>
        <w:t>3.3.2 训练时干预的研究内容</w:t>
      </w:r>
    </w:p>
    <w:p>
      <w:pPr>
        <w:spacing w:line="300" w:lineRule="auto" w:before="0" w:after="0"/>
      </w:pPr>
      <w:r>
        <w:rPr>
          <w:rFonts w:ascii="Times New Roman" w:hAnsi="Times New Roman" w:eastAsia="宋体"/>
          <w:b w:val="0"/>
          <w:color w:val="000000"/>
          <w:sz w:val="24"/>
        </w:rPr>
        <w:t>4．预期达到的目标</w:t>
      </w:r>
    </w:p>
    <w:p>
      <w:pPr>
        <w:spacing w:line="300" w:lineRule="auto" w:before="0" w:after="0"/>
      </w:pPr>
      <w:r>
        <w:rPr>
          <w:rFonts w:ascii="Times New Roman" w:hAnsi="Times New Roman" w:eastAsia="宋体"/>
          <w:b w:val="0"/>
          <w:color w:val="000000"/>
          <w:sz w:val="24"/>
        </w:rPr>
        <w:t>5．已完成的学术研究/实践工作</w:t>
      </w:r>
    </w:p>
    <w:p>
      <w:pPr>
        <w:spacing w:line="300" w:lineRule="auto" w:before="0" w:after="0"/>
      </w:pPr>
      <w:r>
        <w:rPr>
          <w:rFonts w:ascii="Times New Roman" w:hAnsi="Times New Roman" w:eastAsia="宋体"/>
          <w:b w:val="0"/>
          <w:color w:val="000000"/>
          <w:sz w:val="24"/>
        </w:rPr>
        <w:t>6．进度安排</w:t>
      </w:r>
    </w:p>
    <w:p>
      <w:pPr>
        <w:spacing w:line="300" w:lineRule="auto" w:before="0" w:after="0"/>
      </w:pPr>
      <w:r>
        <w:rPr>
          <w:rFonts w:ascii="Times New Roman" w:hAnsi="Times New Roman" w:eastAsia="宋体"/>
          <w:b w:val="0"/>
          <w:color w:val="000000"/>
          <w:sz w:val="24"/>
        </w:rPr>
        <w:t>7．为完成课题所需的条件</w:t>
      </w:r>
    </w:p>
    <w:p>
      <w:pPr>
        <w:spacing w:line="300" w:lineRule="auto" w:before="0" w:after="0"/>
      </w:pPr>
      <w:r>
        <w:rPr>
          <w:rFonts w:ascii="Times New Roman" w:hAnsi="Times New Roman" w:eastAsia="宋体"/>
          <w:b w:val="0"/>
          <w:color w:val="000000"/>
          <w:sz w:val="24"/>
        </w:rPr>
        <w:t>8．研究过程中可能遇到的问题以及解决的措施</w:t>
      </w:r>
    </w:p>
    <w:p>
      <w:pPr>
        <w:spacing w:line="300" w:lineRule="auto" w:before="0" w:after="0"/>
      </w:pPr>
      <w:r>
        <w:rPr>
          <w:rFonts w:ascii="Times New Roman" w:hAnsi="Times New Roman" w:eastAsia="宋体"/>
          <w:b w:val="0"/>
          <w:color w:val="000000"/>
          <w:sz w:val="24"/>
        </w:rPr>
        <w:t>4．预期达到的目标（待续）</w:t>
      </w:r>
    </w:p>
    <w:p>
      <w:pPr>
        <w:spacing w:line="300" w:lineRule="auto" w:before="0" w:after="0"/>
      </w:pPr>
      <w:r>
        <w:rPr>
          <w:rFonts w:ascii="Times New Roman" w:hAnsi="Times New Roman" w:eastAsia="宋体"/>
          <w:b w:val="0"/>
          <w:color w:val="000000"/>
          <w:sz w:val="24"/>
        </w:rPr>
        <w:t>5．已完成的学术研究/实践工作（待续）</w:t>
      </w:r>
    </w:p>
    <w:p>
      <w:pPr>
        <w:spacing w:line="300" w:lineRule="auto" w:before="0" w:after="0"/>
      </w:pPr>
      <w:r>
        <w:rPr>
          <w:rFonts w:ascii="Times New Roman" w:hAnsi="Times New Roman" w:eastAsia="宋体"/>
          <w:b w:val="0"/>
          <w:color w:val="000000"/>
          <w:sz w:val="24"/>
        </w:rPr>
        <w:t>6．进度安排（待续）</w:t>
      </w:r>
    </w:p>
    <w:p>
      <w:pPr>
        <w:spacing w:line="300" w:lineRule="auto" w:before="0" w:after="0"/>
      </w:pPr>
      <w:r>
        <w:rPr>
          <w:rFonts w:ascii="Times New Roman" w:hAnsi="Times New Roman" w:eastAsia="宋体"/>
          <w:b w:val="0"/>
          <w:color w:val="000000"/>
          <w:sz w:val="24"/>
        </w:rPr>
        <w:t>7．为完成课题所需的条件（待续）</w:t>
      </w:r>
    </w:p>
    <w:p>
      <w:pPr>
        <w:spacing w:line="300" w:lineRule="auto" w:before="0" w:after="0"/>
      </w:pPr>
      <w:r>
        <w:rPr>
          <w:rFonts w:ascii="Times New Roman" w:hAnsi="Times New Roman" w:eastAsia="宋体"/>
          <w:b w:val="0"/>
          <w:color w:val="000000"/>
          <w:sz w:val="24"/>
        </w:rPr>
        <w:t>8．研究过程中可能遇到的问题以及解决的措施（待续）</w:t>
      </w:r>
    </w:p>
    <w:p>
      <w:pPr>
        <w:spacing w:line="300" w:lineRule="auto" w:before="0" w:after="0"/>
      </w:pPr>
      <w:r>
        <w:rPr>
          <w:rFonts w:ascii="Times New Roman" w:hAnsi="Times New Roman" w:eastAsia="宋体"/>
          <w:b w:val="0"/>
          <w:color w:val="000000"/>
          <w:sz w:val="24"/>
        </w:rPr>
        <w:t>9．参考文献（见文末初步清单，待续）</w:t>
      </w:r>
    </w:p>
    <w:p>
      <w:pPr>
        <w:spacing w:line="360" w:lineRule="auto" w:before="200" w:after="200"/>
      </w:pPr>
      <w:r>
        <w:rPr>
          <w:rFonts w:ascii="Times New Roman" w:hAnsi="Times New Roman" w:eastAsia="黑体"/>
          <w:b w:val="0"/>
          <w:color w:val="000000"/>
          <w:sz w:val="30"/>
        </w:rPr>
        <w:t>1．课题来源及研究目的和意义</w:t>
      </w:r>
    </w:p>
    <w:p>
      <w:pPr>
        <w:spacing w:line="360" w:lineRule="auto" w:before="180" w:after="180"/>
      </w:pPr>
      <w:r>
        <w:rPr>
          <w:rFonts w:ascii="Times New Roman" w:hAnsi="Times New Roman" w:eastAsia="黑体"/>
          <w:b w:val="0"/>
          <w:color w:val="000000"/>
          <w:sz w:val="28"/>
        </w:rPr>
        <w:t>1.1 课题的来源</w:t>
      </w:r>
    </w:p>
    <w:p>
      <w:pPr>
        <w:spacing w:line="360" w:lineRule="auto" w:before="0" w:after="0"/>
        <w:ind w:firstLineChars="200" w:firstLine="0"/>
      </w:pPr>
      <w:r>
        <w:rPr>
          <w:rFonts w:ascii="Times New Roman" w:hAnsi="Times New Roman" w:eastAsia="宋体"/>
          <w:b w:val="0"/>
          <w:color w:val="000000"/>
          <w:sz w:val="24"/>
        </w:rPr>
        <w:t>【内容待补】</w:t>
      </w:r>
    </w:p>
    <w:p>
      <w:pPr>
        <w:spacing w:line="360" w:lineRule="auto" w:before="180" w:after="180"/>
      </w:pPr>
      <w:r>
        <w:rPr>
          <w:rFonts w:ascii="Times New Roman" w:hAnsi="Times New Roman" w:eastAsia="黑体"/>
          <w:b w:val="0"/>
          <w:color w:val="000000"/>
          <w:sz w:val="28"/>
        </w:rPr>
        <w:t>1.2 课题研究目的和意义</w:t>
      </w:r>
    </w:p>
    <w:p>
      <w:pPr>
        <w:spacing w:line="360" w:lineRule="auto" w:before="0" w:after="0"/>
        <w:ind w:firstLineChars="200" w:firstLine="0"/>
      </w:pPr>
      <w:r>
        <w:rPr>
          <w:rFonts w:ascii="Times New Roman" w:hAnsi="Times New Roman" w:eastAsia="宋体"/>
          <w:b w:val="0"/>
          <w:color w:val="000000"/>
          <w:sz w:val="24"/>
        </w:rPr>
        <w:t>本课题的研究目的是：以率失真理论为统一框架，研究大语言模型幻觉的检测与干预，并回答三个可证伪的科学问题。第一，检测问题：模型内部状态的何种统计量能够可靠识别幻觉输出，检测强度如何随任务类型变化；第二，推理时界限问题：在不修改模型参数的前提下，推理时译码器的纠错容量是否存在可界定的上限；第三，训练时修正问题：修改模型参数能否在净效应意义上减小失真，即修对的样本多于改坏的样本。课题的最终目标是完成"检测＋干预"的完整闭环：检测侧刻画检测能力随任务变化的规律，为幻觉检测系统的适用范围给出量化边界；干预侧刻画推理时容量的界限，并实证检验训练时正则化方案作为通向闭环的工作点。</w:t>
      </w:r>
    </w:p>
    <w:p>
      <w:pPr>
        <w:spacing w:line="360" w:lineRule="auto" w:before="0" w:after="0"/>
        <w:ind w:firstLineChars="200" w:firstLine="0"/>
      </w:pPr>
      <w:r>
        <w:rPr>
          <w:rFonts w:ascii="Times New Roman" w:hAnsi="Times New Roman" w:eastAsia="宋体"/>
          <w:b w:val="0"/>
          <w:color w:val="000000"/>
          <w:sz w:val="24"/>
        </w:rPr>
        <w:t>本课题的意义体现在理论、方法与实践三个层面。理论层面，课题尝试把幻觉的检测与干预置于率失真定理的统一框架下——将"检测"对应失真识别、将"干预"对应固定速率下的失真削减，并在此框架下探索推理时干预容量的理论刻画，有望把"哪些方法注定无效、为什么无效"从经验观察上升为可检验的理论预言，为 ITI、RepE、ROME 等方法的适用边界提供解释。方法层面，幻觉研究结论对评估协议高度敏感：in-sample 评测、模糊匹配标签、prompt 完整性缺陷广泛存在于已有工作之中，导致结论可比性差；课题将建立协议透明的标准化评测流程，并以该流程约束全部实验结论，为领域提供可复现的方法论规范。实践层面，检测侧的任务依赖规律可为幻觉检测系统的部署边界提供依据，干预侧对推理时容量的理论探索可为工业界把资源从推理时补丁转向训练时方案提供决策依据，训练时正则化方案对"防遗忘"与"修正"权衡的量化则直接服务于安全微调、领域适配等实践。</w:t>
      </w:r>
    </w:p>
    <w:p>
      <w:pPr>
        <w:spacing w:line="360" w:lineRule="auto" w:before="200" w:after="200"/>
      </w:pPr>
      <w:r>
        <w:rPr>
          <w:rFonts w:ascii="Times New Roman" w:hAnsi="Times New Roman" w:eastAsia="黑体"/>
          <w:b w:val="0"/>
          <w:color w:val="000000"/>
          <w:sz w:val="30"/>
        </w:rPr>
        <w:t>2．国内外研究现状及分析</w:t>
      </w:r>
    </w:p>
    <w:p>
      <w:pPr>
        <w:spacing w:line="360" w:lineRule="auto" w:before="180" w:after="180"/>
      </w:pPr>
      <w:r>
        <w:rPr>
          <w:rFonts w:ascii="Times New Roman" w:hAnsi="Times New Roman" w:eastAsia="黑体"/>
          <w:b w:val="0"/>
          <w:color w:val="000000"/>
          <w:sz w:val="28"/>
        </w:rPr>
        <w:t>2.1 国外研究现状</w:t>
      </w:r>
    </w:p>
    <w:p>
      <w:pPr>
        <w:spacing w:line="360" w:lineRule="auto" w:before="0" w:after="0"/>
        <w:ind w:firstLineChars="200" w:firstLine="0"/>
      </w:pPr>
      <w:r>
        <w:rPr>
          <w:rFonts w:ascii="Times New Roman" w:hAnsi="Times New Roman" w:eastAsia="宋体"/>
          <w:b w:val="0"/>
          <w:color w:val="000000"/>
          <w:sz w:val="24"/>
        </w:rPr>
        <w:t>理论刻画方面，幻觉已从"现象"上升为可严格分析的"理论对象"。Kalai 与 Vempala 证明任何达到校准要求的语言模型都必然产生幻觉，幻觉率下界与数据分布的长尾性质直接相关；Guo 与 Li 在率失真框架下证明，有限记忆与 log-loss 目标下模型的最优输出分布形如 (1−q*)δ₀ + q*δ_x*，即把比例 q* 的非事实以高置信度映射到与事实相同的输出点，且"拒答"是次优策略。这从信息论层面解释了"教模型说不知道"类训练为何收效有限，并预见了输出面信号对高置信幻觉不可分的事实。该方向的经典源头可追溯至 Shannon 的率失真理论与 Carter 等的成员测试空间下界。</w:t>
      </w:r>
    </w:p>
    <w:p>
      <w:pPr>
        <w:spacing w:line="360" w:lineRule="auto" w:before="0" w:after="0"/>
        <w:ind w:firstLineChars="200" w:firstLine="0"/>
      </w:pPr>
      <w:r>
        <w:rPr>
          <w:rFonts w:ascii="Times New Roman" w:hAnsi="Times New Roman" w:eastAsia="宋体"/>
          <w:b w:val="0"/>
          <w:color w:val="000000"/>
          <w:sz w:val="24"/>
        </w:rPr>
        <w:t>检测方面，国外研究形成三条技术线。输出面置信度方法以最大 token 概率、熵、语义熵、多采样一致性（SelfCheckGPT）、熵产生率（EPR/WEPR）等可观测统计量做判别，零训练成本、不侵入模型，但受制于"失真与事实共享高置信输出点"的结构性限制，对高置信幻觉天然不敏感。内部表示读出方法以 ITI 的 truth direction 为代表，在隐藏状态上拟合"事实方向"并以投影分数判别，相关变体包括 logit lens 与线性探测，分离度通常优于输出面，但需要标注数据拟合方向。采样一致性方法通过多次采样间的语义分歧估计可靠性，与前两类互补。总体上，这些研究在特定基准上报告了较高 AUROC，但评测协议不统一（in-sample 与交叉验证混用、标签口径不一），且跨任务迁移研究不足——检测能力在何种任务上成立、何种任务上失效，缺少系统刻画。</w:t>
      </w:r>
    </w:p>
    <w:p>
      <w:pPr>
        <w:spacing w:line="360" w:lineRule="auto" w:before="0" w:after="0"/>
        <w:ind w:firstLineChars="200" w:firstLine="0"/>
      </w:pPr>
      <w:r>
        <w:rPr>
          <w:rFonts w:ascii="Times New Roman" w:hAnsi="Times New Roman" w:eastAsia="宋体"/>
          <w:b w:val="0"/>
          <w:color w:val="000000"/>
          <w:sz w:val="24"/>
        </w:rPr>
        <w:t>干预方面，研究分为推理时与训练时两条主线。推理时干预中，ITI 与 RepE 沿"事实方向"平移隐藏状态，DoLa 对比浅层与深层 logits 修正解码，ROME 定位事实关联做定点编辑——这些方法在特定任务上有效，但泛化性差，且缺乏"推理时干预容量上界"的理论刻画，零效应与正效应无法从理论上区分。训练时干预以 RLHF 及其简化形式 DPO、SFT 微调为主流，其共性问题是修正幻觉的同时引入灾难性遗忘——"防遗忘"与"修正"的量化权衡始终未被系统刻画，这也是本课题训练时工作的直接切入点。</w:t>
      </w:r>
    </w:p>
    <w:p>
      <w:pPr>
        <w:spacing w:line="360" w:lineRule="auto" w:before="180" w:after="180"/>
      </w:pPr>
      <w:r>
        <w:rPr>
          <w:rFonts w:ascii="Times New Roman" w:hAnsi="Times New Roman" w:eastAsia="黑体"/>
          <w:b w:val="0"/>
          <w:color w:val="000000"/>
          <w:sz w:val="28"/>
        </w:rPr>
        <w:t>2.2 国内研究现状</w:t>
      </w:r>
    </w:p>
    <w:p>
      <w:pPr>
        <w:spacing w:line="360" w:lineRule="auto" w:before="0" w:after="0"/>
        <w:ind w:firstLineChars="200" w:firstLine="0"/>
      </w:pPr>
      <w:r>
        <w:rPr>
          <w:rFonts w:ascii="Times New Roman" w:hAnsi="Times New Roman" w:eastAsia="宋体"/>
          <w:b w:val="0"/>
          <w:color w:val="000000"/>
          <w:sz w:val="24"/>
        </w:rPr>
        <w:t>国内学者在幻觉评测资源建设方面贡献突出。西湖大学张岳团队等的综述工作《Siren's Song in the AI Ocean》对幻觉的成因分类、评测方法与缓解技术做了迄今最系统的梳理，并指出评测基准与真实场景之间的鸿沟。评测基准方面，中国人民大学提出的 HaluEval 是首个大规模、覆盖问答/对话/摘要等多任务类别的幻觉评测基准；复旦大学与上海人工智能实验室等提出的 HalluQA 聚焦中文大模型的事实性幻觉评测，填补了中文场景的资源空白；UHGEval 面向无约束生成场景开展中文幻觉评估（ACL 2024）。三者分别从通用幻觉、中文事实性、无约束生成三个角度推进了评测标准化。</w:t>
      </w:r>
    </w:p>
    <w:p>
      <w:pPr>
        <w:spacing w:line="360" w:lineRule="auto" w:before="0" w:after="0"/>
        <w:ind w:firstLineChars="200" w:firstLine="0"/>
      </w:pPr>
      <w:r>
        <w:rPr>
          <w:rFonts w:ascii="Times New Roman" w:hAnsi="Times New Roman" w:eastAsia="宋体"/>
          <w:b w:val="0"/>
          <w:color w:val="000000"/>
          <w:sz w:val="24"/>
        </w:rPr>
        <w:t>干预与缓解方面，中国科学院计算技术研究所提出的 TruthX 在"真实空间"内编辑大模型内部表征，是推理时幻觉干预的国内代表工作（ACL 2024）；训练时缓解方面，国内工业界与开源社区贡献显著，通义千问（Qwen）、书生（InternLM）、智谱（GLM）等国产开源模型为可控、可复现的幻觉研究提供了基础设施。总体来看，国内在幻觉评测上已处于国际前列，但在机制级分析与干预界限理论方面相对薄弱，检测、干预与理论之间的整合不足——这既是本课题的切入点，也说明该方向在国内有较大研究空间。</w:t>
      </w:r>
    </w:p>
    <w:p>
      <w:pPr>
        <w:spacing w:line="360" w:lineRule="auto" w:before="180" w:after="180"/>
      </w:pPr>
      <w:r>
        <w:rPr>
          <w:rFonts w:ascii="Times New Roman" w:hAnsi="Times New Roman" w:eastAsia="黑体"/>
          <w:b w:val="0"/>
          <w:color w:val="000000"/>
          <w:sz w:val="28"/>
        </w:rPr>
        <w:t>2.3 国内外文献综述的简析</w:t>
      </w:r>
    </w:p>
    <w:p>
      <w:pPr>
        <w:spacing w:line="360" w:lineRule="auto" w:before="0" w:after="0"/>
        <w:ind w:firstLineChars="200" w:firstLine="0"/>
      </w:pPr>
      <w:r>
        <w:rPr>
          <w:rFonts w:ascii="Times New Roman" w:hAnsi="Times New Roman" w:eastAsia="宋体"/>
          <w:b w:val="0"/>
          <w:color w:val="000000"/>
          <w:sz w:val="24"/>
        </w:rPr>
        <w:t>综合来看，幻觉研究已走过"发现现象—罗列缓解技巧"的早期阶段，进入"机制分析—理论刻画"的深化期：检测研究形成"输出面—内部表示—采样一致性"的完整方法谱系，且实证表明内部表示读出普遍优于输出面信号；干预研究积累了十余种推理时范式与多种训练时方案，明确了推理时方向干预与训练时偏好优化两条主线的可行边界；理论工作则把幻觉从经验问题提升为可证明的最优行为，为整个领域提供了分析语言。但现有研究仍存在五个方面的不足：其一，检测与干预研究彼此割裂，缺少把二者置于同一信息论框架下统一分析的尝试，率失真框架刚刚出现，且尚未给出到达理论前沿的训练算法；其二，评估协议脆弱的问题普遍存在，in-sample 评测、模糊匹配标签、prompt 完整性缺陷广泛见于已发表结论，导致不同工作的结论可比性差；其三，推理时干预缺乏容量上界理论，十余种范式的零效应究竟是实现问题还是结构性界限，文献无法回答；其四，训练时干预的"防遗忘—修正"权衡缺少可复现的量化工作点；其五，多数研究在英文多选任务上验证，面向开放生成与中文场景的系统性研究不足。</w:t>
      </w:r>
    </w:p>
    <w:p>
      <w:pPr>
        <w:spacing w:line="360" w:lineRule="auto" w:before="0" w:after="0"/>
        <w:ind w:firstLineChars="200" w:firstLine="0"/>
      </w:pPr>
      <w:r>
        <w:rPr>
          <w:rFonts w:ascii="Times New Roman" w:hAnsi="Times New Roman" w:eastAsia="宋体"/>
          <w:b w:val="0"/>
          <w:color w:val="000000"/>
          <w:sz w:val="24"/>
        </w:rPr>
        <w:t>针对上述不足，本课题的定位是：以率失真框架统一检测与干预的研究叙事，将检测能力建模为"失真与事实在观测面上的可分度"、将干预建模为"固定速率下的失真削减"；探索推理时干预容量的理论刻画并用系统实验检验；在训练时修正方向给出防遗忘与修正的量化权衡曲线；同时以标准化评测协议的方法论建设回应评估脆弱问题。</w:t>
      </w:r>
    </w:p>
    <w:p>
      <w:pPr>
        <w:spacing w:line="360" w:lineRule="auto" w:before="200" w:after="200"/>
      </w:pPr>
      <w:r>
        <w:rPr>
          <w:rFonts w:ascii="Times New Roman" w:hAnsi="Times New Roman" w:eastAsia="黑体"/>
          <w:b w:val="0"/>
          <w:color w:val="000000"/>
          <w:sz w:val="30"/>
        </w:rPr>
        <w:t>3．主要内容及方案</w:t>
      </w:r>
    </w:p>
    <w:p>
      <w:pPr>
        <w:spacing w:line="360" w:lineRule="auto" w:before="0" w:after="0"/>
        <w:ind w:firstLineChars="200" w:firstLine="0"/>
      </w:pPr>
      <w:r>
        <w:rPr>
          <w:rFonts w:ascii="Times New Roman" w:hAnsi="Times New Roman" w:eastAsia="宋体"/>
          <w:b w:val="0"/>
          <w:color w:val="000000"/>
          <w:sz w:val="24"/>
        </w:rPr>
        <w:t>本课题围绕"检测—界限—修正"三个科学问题展开，研究内容分为三部分：幻觉检测的研究（对应问题一）、推理时干预容量的理论刻画（对应问题二）、训练时修正的权衡优化（对应问题三）。</w:t>
      </w:r>
    </w:p>
    <w:p>
      <w:pPr>
        <w:spacing w:line="360" w:lineRule="auto" w:before="180" w:after="180"/>
      </w:pPr>
      <w:r>
        <w:rPr>
          <w:rFonts w:ascii="Times New Roman" w:hAnsi="Times New Roman" w:eastAsia="黑体"/>
          <w:b w:val="0"/>
          <w:color w:val="000000"/>
          <w:sz w:val="28"/>
        </w:rPr>
        <w:t>3.1 总体思路与检测问题的形式化</w:t>
      </w:r>
    </w:p>
    <w:p>
      <w:pPr>
        <w:spacing w:line="360" w:lineRule="auto" w:before="0" w:after="0"/>
        <w:ind w:firstLineChars="200" w:firstLine="0"/>
      </w:pPr>
      <w:r>
        <w:rPr>
          <w:rFonts w:ascii="Times New Roman" w:hAnsi="Times New Roman" w:eastAsia="宋体"/>
          <w:b w:val="0"/>
          <w:color w:val="000000"/>
          <w:sz w:val="24"/>
        </w:rPr>
        <w:t>本课题以率失真理论为统一框架。Guo 与 Li 的率失真定理表明，在有限记忆预算下模型的最优输出分布形如 (1−q*)δ₀ + q*δ_x*：比例 q* 的非事实与事实共享同一高置信输出点 x*，其余非事实被映射到低置信区间。这一结构把检测问题形式化为"失真识别"问题——模型内部存在"知道正确"与"不知道而高置信猜测"两种信息状态，二者在输出面上部分不可分，而在内部状态上保留不同强度的分离信息。因此，本课题检测研究的对象是"观测面谱系"：输出面统计量、内部状态线性读出、多采样一致性三类信号，在何种任务类型上、以何种分离度区分失真与事实；检测研究的总体路线是"观测面谱系 × 任务类型谱系 × 统一评测协议"三个维度的系统对照。</w:t>
      </w:r>
    </w:p>
    <w:p>
      <w:pPr>
        <w:spacing w:line="360" w:lineRule="auto" w:before="0" w:after="0"/>
        <w:ind w:firstLineChars="200" w:firstLine="0"/>
      </w:pPr>
      <w:r>
        <w:rPr>
          <w:rFonts w:ascii="Times New Roman" w:hAnsi="Times New Roman" w:eastAsia="宋体"/>
          <w:b w:val="0"/>
          <w:color w:val="000000"/>
          <w:sz w:val="24"/>
        </w:rPr>
        <w:t>在操作层面，本课题以答案首 token 在最终层 logits 中的秩作为"知道与否"的代理，将样本划分为三类：知道且正确（KC）、知道但错误（KW）、不知道（DK）。其中 KW 对应"失真"——知识已被编码而解码环节出错，是检测与干预共同关注的对象；DK 对应"速率不足"——知识从未被编码，推理时不可修复，只能通过训练或外部记忆缓解；KC 为无失真基线。该三分法把率失真框架的"速率—失真"概念落实到可操作的样本划分上，是后续全部检测与干预实验的共同分析工具。</w:t>
      </w:r>
    </w:p>
    <w:p>
      <w:pPr>
        <w:spacing w:line="360" w:lineRule="auto" w:before="180" w:after="180"/>
      </w:pPr>
      <w:r>
        <w:rPr>
          <w:rFonts w:ascii="Times New Roman" w:hAnsi="Times New Roman" w:eastAsia="黑体"/>
          <w:b w:val="0"/>
          <w:color w:val="000000"/>
          <w:sz w:val="28"/>
        </w:rPr>
        <w:t>3.2 幻觉检测的研究内容</w:t>
      </w:r>
    </w:p>
    <w:p>
      <w:pPr>
        <w:spacing w:line="360" w:lineRule="auto" w:before="0" w:after="0"/>
        <w:ind w:firstLineChars="200" w:firstLine="0"/>
      </w:pPr>
      <w:r>
        <w:rPr>
          <w:rFonts w:ascii="Times New Roman" w:hAnsi="Times New Roman" w:eastAsia="宋体"/>
          <w:b w:val="0"/>
          <w:color w:val="000000"/>
          <w:sz w:val="24"/>
        </w:rPr>
        <w:t>（1）输出面置信度信号的可分性研究。拟系统考察四类输出面统计量的检测能力：最大 token 概率（max_p，生成序列上最高解码概率的统计量）、输出分布熵（对 logits 分布的信息熵）、语义熵（多次采样后按语义等价类聚类再计算类间熵）、熵产生率（EPR，逐 token 熵变化的累积量）。判别方式采用单特征阈值判别与多特征逻辑回归联合判别两种；评测以 AUROC 为主指标。该部分一方面检验 q* 双峰结构的可检验预测——低置信非事实（(1−q*)δ₀ 部分）可通过置信度阈值滤除，而高置信幻觉（q*δ_x* 部分）在输出面上与事实不可分；另一方面给出输出面信号在各类任务上的适用边界，回答"输出面检测器在何种任务上可用"。</w:t>
      </w:r>
    </w:p>
    <w:p>
      <w:pPr>
        <w:spacing w:line="360" w:lineRule="auto" w:before="0" w:after="0"/>
        <w:ind w:firstLineChars="200" w:firstLine="0"/>
      </w:pPr>
      <w:r>
        <w:rPr>
          <w:rFonts w:ascii="Times New Roman" w:hAnsi="Times New Roman" w:eastAsia="宋体"/>
          <w:b w:val="0"/>
          <w:color w:val="000000"/>
          <w:sz w:val="24"/>
        </w:rPr>
        <w:t>（2）内部状态线性读出研究。拟研究三类隐藏状态读出方法的检测能力：truth direction 方向投影——在训练折内以正确/错误样本隐藏状态的均值差拟合方向 v = μ⁺ − μ⁻，再以投影分数 v·h 判别测试样本；logit lens——对任意中间层 ℓ 的隐藏状态施加最终层归一化后经解嵌矩阵读出 logits（W_U·RMSNorm(h_ℓ)），以答案 token 的读出分数为信号；逐层线性探测——对每一层的隐藏状态训练逻辑回归探针。实验拟刻画逐层分离度谱系，回答"失真与事实的分离信息保留在哪些层、以何种强度保留"，并与输出面信号系统对比，检验"内部状态保留部分分离信息、输出时被部分坍缩"这一理论预测。检测性能以 AUROC 为主指标，以交叉验证折间标准差与置信区间报告不确定性。</w:t>
      </w:r>
    </w:p>
    <w:p>
      <w:pPr>
        <w:spacing w:line="360" w:lineRule="auto" w:before="0" w:after="0"/>
        <w:ind w:firstLineChars="200" w:firstLine="0"/>
      </w:pPr>
      <w:r>
        <w:rPr>
          <w:rFonts w:ascii="Times New Roman" w:hAnsi="Times New Roman" w:eastAsia="宋体"/>
          <w:b w:val="0"/>
          <w:color w:val="000000"/>
          <w:sz w:val="24"/>
        </w:rPr>
        <w:t>（3）检测能力的任务依赖性刻画。拟以同一模型、同一评测协议，在多选任务（四选一常识推理，检测对象为"错误选项的置信度"）与开放生成任务（短答案问答，检测对象为"生成答案的正确性"）上对比检测强度；跨任务迁移实验拟将在一个任务上拟合的检测方向/探针直接迁移到另一任务评测，检验检测器的泛化性。由此刻画检测能力随任务类型变化的规律，为幻觉检测系统的部署边界提供量化依据。</w:t>
      </w:r>
    </w:p>
    <w:p>
      <w:pPr>
        <w:spacing w:line="360" w:lineRule="auto" w:before="0" w:after="0"/>
        <w:ind w:firstLineChars="200" w:firstLine="0"/>
      </w:pPr>
      <w:r>
        <w:rPr>
          <w:rFonts w:ascii="Times New Roman" w:hAnsi="Times New Roman" w:eastAsia="宋体"/>
          <w:b w:val="0"/>
          <w:color w:val="000000"/>
          <w:sz w:val="24"/>
        </w:rPr>
        <w:t>（4）标准化评测协议。为保证上述结论的可比性与可复现性，全部检测实验拟遵循统一的协议规范：标签采用词边界感知的 exact 匹配口径（排除上下文照抄型假阳性）；评测采用分层 5 折交叉验证，检测方向/探针一律在训练折内拟合；输入 prompt 完整保留问题部分（上下文截断只作用于检索上下文）；所有超参数在 held-out 校验集上选择，测试集仅报告；区间估计采用 Clopper-Pearson 置信区间。该协议同时作为本课题全部检测结论的方法论约束。</w:t>
      </w:r>
    </w:p>
    <w:p>
      <w:pPr>
        <w:spacing w:line="360" w:lineRule="auto" w:before="180" w:after="180"/>
      </w:pPr>
      <w:r>
        <w:rPr>
          <w:rFonts w:ascii="Times New Roman" w:hAnsi="Times New Roman" w:eastAsia="黑体"/>
          <w:b w:val="0"/>
          <w:color w:val="000000"/>
          <w:sz w:val="28"/>
        </w:rPr>
        <w:t>3.3 推理时干预与训练时修正的研究内容</w:t>
      </w:r>
    </w:p>
    <w:p>
      <w:pPr>
        <w:spacing w:line="360" w:lineRule="auto" w:before="0" w:after="0"/>
      </w:pPr>
      <w:r>
        <w:rPr>
          <w:rFonts w:ascii="Times New Roman" w:hAnsi="Times New Roman" w:eastAsia="黑体"/>
          <w:b w:val="0"/>
          <w:color w:val="000000"/>
          <w:sz w:val="24"/>
        </w:rPr>
        <w:t>3.3.1 推理时干预的研究内容</w:t>
      </w:r>
    </w:p>
    <w:p>
      <w:pPr>
        <w:spacing w:line="360" w:lineRule="auto" w:before="0" w:after="0"/>
        <w:ind w:firstLineChars="200" w:firstLine="0"/>
      </w:pPr>
      <w:r>
        <w:rPr>
          <w:rFonts w:ascii="Times New Roman" w:hAnsi="Times New Roman" w:eastAsia="宋体"/>
          <w:b w:val="0"/>
          <w:color w:val="000000"/>
          <w:sz w:val="24"/>
        </w:rPr>
        <w:t>（1）推理时干预容量的理论刻画。拟在率失真框架下分析不修改模型参数的译码器的纠错容量，形式化如下：干预为对隐藏状态或 logits 的映射 h ← h + α·v(x)（v 为干预方向，α 为强度）；译码器 D 定义为从模型输出到答案序列的确定性映射；译码器的增益定义为 C(θ, D, D) − C(θ, D)，即相对贪婪基线的正确率提升。重点研究两个问题：当 v 为不依赖输入的固定方向时，是否存在无法纠正的输入依赖错误模式（即固定方向干预的容量）；一般译码器的增益是否存在可界定的上界。研究将覆盖三类典型译码器——固定方向激活干预、层间 logit 对比、多次采样聚合——对每一类给出容量上界或以明确证据说明其不可得。若上述界限成立，则可解释已有干预范式的适用边界，并为推理时干预研究提供可复用的判别工具。</w:t>
      </w:r>
    </w:p>
    <w:p>
      <w:pPr>
        <w:spacing w:line="360" w:lineRule="auto" w:before="0" w:after="0"/>
        <w:ind w:firstLineChars="200" w:firstLine="0"/>
      </w:pPr>
      <w:r>
        <w:rPr>
          <w:rFonts w:ascii="Times New Roman" w:hAnsi="Times New Roman" w:eastAsia="宋体"/>
          <w:b w:val="0"/>
          <w:color w:val="000000"/>
          <w:sz w:val="24"/>
        </w:rPr>
        <w:t>（2）推理时解码修正的机制定案。拟对层间 logit 插值类干预方法开展逐 token 的机制分析。该类方法在每步解码时以早期退出层的 logits 修正最终层 logits：l_combined = l_L + β·(l_ℓ* − l_L)，其中 ℓ* 为检测峰值层、β∈[0.01, 0.2] 为插值系数。机制分析拟在生成过程的每一步同时捕获早期层与最终层的 logits，统计两类量：干预对正确答案 token 的 logit 增量（Δ_y_true）、干预对最终层 argmax（错误候选）的 logit 增量（Δ_distractor），并记录每次 argmax 翻转发生的步数与翻转方向。据此区分该方法的两种效应来源：可解释的惩罚机制（如对"被后期层过度放大的错误 token"的不对称惩罚，表现为 Δ_distractor 显著为负且集中于错误候选），或解码轨迹对微小扰动的混沌放大（表现为翻转随机分布、与正确性无关）。该定案为推理时干预界限提供机制级证据，并决定该方法在论文中的定位。</w:t>
      </w:r>
    </w:p>
    <w:p>
      <w:pPr>
        <w:spacing w:line="360" w:lineRule="auto" w:before="0" w:after="0"/>
      </w:pPr>
      <w:r>
        <w:rPr>
          <w:rFonts w:ascii="Times New Roman" w:hAnsi="Times New Roman" w:eastAsia="黑体"/>
          <w:b w:val="0"/>
          <w:color w:val="000000"/>
          <w:sz w:val="24"/>
        </w:rPr>
        <w:t>3.3.2 训练时干预的研究内容</w:t>
      </w:r>
    </w:p>
    <w:p>
      <w:pPr>
        <w:spacing w:line="360" w:lineRule="auto" w:before="0" w:after="0"/>
        <w:ind w:firstLineChars="200" w:firstLine="0"/>
      </w:pPr>
      <w:r>
        <w:rPr>
          <w:rFonts w:ascii="Times New Roman" w:hAnsi="Times New Roman" w:eastAsia="宋体"/>
          <w:b w:val="0"/>
          <w:color w:val="000000"/>
          <w:sz w:val="24"/>
        </w:rPr>
        <w:t>（1）训练时修正的权衡优化。拟研究修改参数路径上"防遗忘"与"幻觉修正"的量化权衡。方法上：以小规模训练集上的低秩适配（LoRA）微调模型深层注意力模块（秩 r=8、缩放 α=16、目标模块为查询/值投影、覆盖末 8 层）；以 KL 正则化约束微调幅度——在答案区域窗口内计算基模型与微调模型的输出分布 KL 散度并加入训练目标，使正则化强度 β 成为"修正"与"防遗忘"之间的显式旋钮。实验设计：正则化强度与训练数据密度两个维度的扫描，以 held-out 校验集选择工作点；评价指标为 KW 修正量（被修对的"知道但答错"样本数）、KC 退化量（被改坏的"知道且答对"样本数）与净效应 net = KW 修正 − KC 退化；据此刻画修正—遗忘替换曲线，寻找净效应为正的工作点，并与纯微调基线系统对比。</w:t>
      </w:r>
    </w:p>
    <w:p>
      <w:pPr>
        <w:spacing w:line="360" w:lineRule="auto" w:before="0" w:after="0"/>
        <w:ind w:firstLineChars="200" w:firstLine="0"/>
      </w:pPr>
      <w:r>
        <w:rPr>
          <w:rFonts w:ascii="Times New Roman" w:hAnsi="Times New Roman" w:eastAsia="宋体"/>
          <w:b w:val="0"/>
          <w:color w:val="000000"/>
          <w:sz w:val="24"/>
        </w:rPr>
        <w:t>（2）跨规模泛化验证。拟在更大规模的模型（8B）上以同一协议复跑训练时修正的关键工作点，并复跑检测任务依赖性结论，检验上述结论的跨规模泛化性，明确各项结论的适用边界。</w:t>
      </w:r>
    </w:p>
    <w:p>
      <w:pPr>
        <w:spacing w:line="360" w:lineRule="auto" w:before="200" w:after="200"/>
      </w:pPr>
      <w:r>
        <w:rPr>
          <w:rFonts w:ascii="Times New Roman" w:hAnsi="Times New Roman" w:eastAsia="黑体"/>
          <w:b w:val="0"/>
          <w:color w:val="000000"/>
          <w:sz w:val="30"/>
        </w:rPr>
        <w:t>4．预期达到的目标</w:t>
      </w:r>
    </w:p>
    <w:p>
      <w:pPr>
        <w:spacing w:line="360" w:lineRule="auto" w:before="0" w:after="0"/>
        <w:ind w:firstLineChars="200" w:firstLine="0"/>
      </w:pPr>
      <w:r>
        <w:rPr>
          <w:rFonts w:ascii="Times New Roman" w:hAnsi="Times New Roman" w:eastAsia="宋体"/>
          <w:b w:val="0"/>
          <w:color w:val="000000"/>
          <w:sz w:val="24"/>
        </w:rPr>
        <w:t>（1）理论目标：在率失真框架下形成检测与干预的统一分析语言，完成推理时干预容量的理论刻画，或以明确的证据说明该刻画不可得的原因；使"何种干预方法注定无效、为什么无效"成为可检验的理论结论。</w:t>
      </w:r>
    </w:p>
    <w:p>
      <w:pPr>
        <w:spacing w:line="360" w:lineRule="auto" w:before="0" w:after="0"/>
        <w:ind w:firstLineChars="200" w:firstLine="0"/>
      </w:pPr>
      <w:r>
        <w:rPr>
          <w:rFonts w:ascii="Times New Roman" w:hAnsi="Times New Roman" w:eastAsia="宋体"/>
          <w:b w:val="0"/>
          <w:color w:val="000000"/>
          <w:sz w:val="24"/>
        </w:rPr>
        <w:t>（2）实验目标：完成检测能力任务依赖性的系统刻画（多选任务、开放生成任务、跨任务迁移三个层面的对照结论）；完成推理时干预界限的机制级验证；在训练时修正方向给出"防遗忘—修正"权衡曲线，并尽力寻找净效应为正的工作点。</w:t>
      </w:r>
    </w:p>
    <w:p>
      <w:pPr>
        <w:spacing w:line="360" w:lineRule="auto" w:before="0" w:after="0"/>
        <w:ind w:firstLineChars="200" w:firstLine="0"/>
      </w:pPr>
      <w:r>
        <w:rPr>
          <w:rFonts w:ascii="Times New Roman" w:hAnsi="Times New Roman" w:eastAsia="宋体"/>
          <w:b w:val="0"/>
          <w:color w:val="000000"/>
          <w:sz w:val="24"/>
        </w:rPr>
        <w:t>（3）论文目标：形成一篇结构完整、结论可复现的硕士学位论文，其中检测的任务依赖性刻画与推理时干预界限两个部分达到可发表质量。</w:t>
      </w:r>
    </w:p>
    <w:p>
      <w:pPr>
        <w:spacing w:line="360" w:lineRule="auto" w:before="200" w:after="200"/>
      </w:pPr>
      <w:r>
        <w:rPr>
          <w:rFonts w:ascii="Times New Roman" w:hAnsi="Times New Roman" w:eastAsia="黑体"/>
          <w:b w:val="0"/>
          <w:color w:val="000000"/>
          <w:sz w:val="30"/>
        </w:rPr>
        <w:t>5．已完成的学术研究/实践工作</w:t>
      </w:r>
    </w:p>
    <w:p>
      <w:pPr>
        <w:spacing w:line="360" w:lineRule="auto" w:before="180" w:after="180"/>
      </w:pPr>
      <w:r>
        <w:rPr>
          <w:rFonts w:ascii="Times New Roman" w:hAnsi="Times New Roman" w:eastAsia="黑体"/>
          <w:b w:val="0"/>
          <w:color w:val="000000"/>
          <w:sz w:val="28"/>
        </w:rPr>
        <w:t>5.1 检测方向（已形成任务依赖性结论）</w:t>
      </w:r>
    </w:p>
    <w:p>
      <w:pPr>
        <w:spacing w:line="360" w:lineRule="auto" w:before="0" w:after="0"/>
        <w:ind w:firstLineChars="200" w:firstLine="0"/>
      </w:pPr>
      <w:r>
        <w:rPr>
          <w:rFonts w:ascii="Times New Roman" w:hAnsi="Times New Roman" w:eastAsia="宋体"/>
          <w:b w:val="0"/>
          <w:color w:val="000000"/>
          <w:sz w:val="24"/>
        </w:rPr>
        <w:t>已完成幻觉检测三条技术线的系统评测：输出面置信度统计量（最大 token 概率、熵、语义熵等）、内部表示线性读出（truth direction 方向投影、logit lens、逐层线性探测）、表面特征联合分类。全部评测在统一的修复后协议下进行（exact 标签、5 折交叉验证、完整 prompt、held-out 选参）。主要结论：同一模型、同一协议下检测强度随任务类型剧烈变化——多选任务上内部表示联合特征可达 0.936，开放生成任务上线性读出约 0.77、表面特征仅 0.61-0.63，跨任务迁移仅 0.54-0.66；知识筛选验证显示开放生成任务的 0.77 为任务天花板而非"无知"污染。上述结果构成了"检测任务依赖性"的完整证据链。</w:t>
      </w:r>
    </w:p>
    <w:p>
      <w:pPr>
        <w:spacing w:line="360" w:lineRule="auto" w:before="180" w:after="180"/>
      </w:pPr>
      <w:r>
        <w:rPr>
          <w:rFonts w:ascii="Times New Roman" w:hAnsi="Times New Roman" w:eastAsia="黑体"/>
          <w:b w:val="0"/>
          <w:color w:val="000000"/>
          <w:sz w:val="28"/>
        </w:rPr>
        <w:t>5.2 推理时干预方向（TLDC 弱干预效应已定案）</w:t>
      </w:r>
    </w:p>
    <w:p>
      <w:pPr>
        <w:spacing w:line="360" w:lineRule="auto" w:before="0" w:after="0"/>
        <w:ind w:firstLineChars="200" w:firstLine="0"/>
      </w:pPr>
      <w:r>
        <w:rPr>
          <w:rFonts w:ascii="Times New Roman" w:hAnsi="Times New Roman" w:eastAsia="宋体"/>
          <w:b w:val="0"/>
          <w:color w:val="000000"/>
          <w:sz w:val="24"/>
        </w:rPr>
        <w:t>已完成层间 logit 插值类干预方法（TLDC）的大样本验证（n=600、双 seed）：在"知道但答错"子集上观察到弱正效应（95% 置信区间排除零），并完成逐 token 机制定案（效应伴随对正确答案的代价，机制上属于解码轨迹对扰动的放大）。其余推理时干预范式的系统检验正在按统一协议逐一复核代码与结论，复核完成前其结论不写入本报告。</w:t>
      </w:r>
    </w:p>
    <w:p>
      <w:pPr>
        <w:spacing w:line="360" w:lineRule="auto" w:before="180" w:after="180"/>
      </w:pPr>
      <w:r>
        <w:rPr>
          <w:rFonts w:ascii="Times New Roman" w:hAnsi="Times New Roman" w:eastAsia="黑体"/>
          <w:b w:val="0"/>
          <w:color w:val="000000"/>
          <w:sz w:val="28"/>
        </w:rPr>
        <w:t>5.3 训练时干预方向（进行中）</w:t>
      </w:r>
    </w:p>
    <w:p>
      <w:pPr>
        <w:spacing w:line="360" w:lineRule="auto" w:before="0" w:after="0"/>
        <w:ind w:firstLineChars="200" w:firstLine="0"/>
      </w:pPr>
      <w:r>
        <w:rPr>
          <w:rFonts w:ascii="Times New Roman" w:hAnsi="Times New Roman" w:eastAsia="宋体"/>
          <w:b w:val="0"/>
          <w:color w:val="000000"/>
          <w:sz w:val="24"/>
        </w:rPr>
        <w:t>已完成纯微调（LoRA + CE）与 KL 反遗忘正则化的系统对照：窗口 KL 正则化可将微调引入的灾难性遗忘代价降低约 3 倍，但净效应仍为负（⚠️ 该数字待评测协议修复后重跑确认）；已排除 δ penalty 路径（经代码审计证实其从未生效）。下一阶段（本课题主线）：在正则化强度与训练数据密度两个维度上寻找净效应转正的工作点。</w:t>
      </w:r>
    </w:p>
    <w:p>
      <w:pPr>
        <w:spacing w:line="360" w:lineRule="auto" w:before="180" w:after="180"/>
      </w:pPr>
      <w:r>
        <w:rPr>
          <w:rFonts w:ascii="Times New Roman" w:hAnsi="Times New Roman" w:eastAsia="黑体"/>
          <w:b w:val="0"/>
          <w:color w:val="000000"/>
          <w:sz w:val="28"/>
        </w:rPr>
        <w:t>5.4 理论准备</w:t>
      </w:r>
    </w:p>
    <w:p>
      <w:pPr>
        <w:spacing w:line="360" w:lineRule="auto" w:before="0" w:after="0"/>
        <w:ind w:firstLineChars="200" w:firstLine="0"/>
      </w:pPr>
      <w:r>
        <w:rPr>
          <w:rFonts w:ascii="Times New Roman" w:hAnsi="Times New Roman" w:eastAsia="宋体"/>
          <w:b w:val="0"/>
          <w:color w:val="000000"/>
          <w:sz w:val="24"/>
        </w:rPr>
        <w:t>已完成率失真主线文献的形式化核查（最优输出分布 q* = 2^(−KL(μ_K‖μ_N)) 的推导复现）；完成检测-干预统一框架的初步形式化（检测=失真识别、干预=固定速率下的失真削减、KC/KW/DK 三分法）；对推理时干预容量的理论刻画仍在验证中，验证完成前不作为论文结论使用。</w:t>
      </w:r>
    </w:p>
    <w:p>
      <w:pPr>
        <w:spacing w:line="360" w:lineRule="auto" w:before="200" w:after="200"/>
      </w:pPr>
      <w:r>
        <w:rPr>
          <w:rFonts w:ascii="Times New Roman" w:hAnsi="Times New Roman" w:eastAsia="黑体"/>
          <w:b w:val="0"/>
          <w:color w:val="000000"/>
          <w:sz w:val="30"/>
        </w:rPr>
        <w:t>6．进度安排</w:t>
      </w:r>
    </w:p>
    <w:p>
      <w:pPr>
        <w:spacing w:line="360" w:lineRule="auto" w:before="0" w:after="0"/>
        <w:ind w:firstLineChars="200" w:firstLine="0"/>
      </w:pPr>
      <w:r>
        <w:rPr>
          <w:rFonts w:ascii="Times New Roman" w:hAnsi="Times New Roman" w:eastAsia="宋体"/>
          <w:b w:val="0"/>
          <w:color w:val="000000"/>
          <w:sz w:val="24"/>
        </w:rPr>
        <w:t>阶段一（第 1-2 月）：开题报告定稿；论文第 2 章（相关工作）初稿。</w:t>
      </w:r>
    </w:p>
    <w:p>
      <w:pPr>
        <w:spacing w:line="360" w:lineRule="auto" w:before="0" w:after="0"/>
        <w:ind w:firstLineChars="200" w:firstLine="0"/>
      </w:pPr>
      <w:r>
        <w:rPr>
          <w:rFonts w:ascii="Times New Roman" w:hAnsi="Times New Roman" w:eastAsia="宋体"/>
          <w:b w:val="0"/>
          <w:color w:val="000000"/>
          <w:sz w:val="24"/>
        </w:rPr>
        <w:t>阶段二（第 2-3 月）：论文第 3-4 章（理论框架与检测）；训练时干预协议修复重跑。</w:t>
      </w:r>
    </w:p>
    <w:p>
      <w:pPr>
        <w:spacing w:line="360" w:lineRule="auto" w:before="0" w:after="0"/>
        <w:ind w:firstLineChars="200" w:firstLine="0"/>
      </w:pPr>
      <w:r>
        <w:rPr>
          <w:rFonts w:ascii="Times New Roman" w:hAnsi="Times New Roman" w:eastAsia="宋体"/>
          <w:b w:val="0"/>
          <w:color w:val="000000"/>
          <w:sz w:val="24"/>
        </w:rPr>
        <w:t>阶段三（第 3-4 月）：论文第 5 章（干预）；推理时干预范式代码复核与协议修复重跑；训练时修正权衡实验（寻找净效应转正点）。</w:t>
      </w:r>
    </w:p>
    <w:p>
      <w:pPr>
        <w:spacing w:line="360" w:lineRule="auto" w:before="0" w:after="0"/>
        <w:ind w:firstLineChars="200" w:firstLine="0"/>
      </w:pPr>
      <w:r>
        <w:rPr>
          <w:rFonts w:ascii="Times New Roman" w:hAnsi="Times New Roman" w:eastAsia="宋体"/>
          <w:b w:val="0"/>
          <w:color w:val="000000"/>
          <w:sz w:val="24"/>
        </w:rPr>
        <w:t>阶段四（第 4-5 月）：跨规模验证（8B，服务器）；第 6 章（界限讨论）。</w:t>
      </w:r>
    </w:p>
    <w:p>
      <w:pPr>
        <w:spacing w:line="360" w:lineRule="auto" w:before="0" w:after="0"/>
        <w:ind w:firstLineChars="200" w:firstLine="0"/>
      </w:pPr>
      <w:r>
        <w:rPr>
          <w:rFonts w:ascii="Times New Roman" w:hAnsi="Times New Roman" w:eastAsia="宋体"/>
          <w:b w:val="0"/>
          <w:color w:val="000000"/>
          <w:sz w:val="24"/>
        </w:rPr>
        <w:t>阶段五（第 5-6 月）：全文初稿、口径复查、修订送审。</w:t>
      </w:r>
    </w:p>
    <w:p>
      <w:pPr>
        <w:spacing w:line="360" w:lineRule="auto" w:before="200" w:after="200"/>
      </w:pPr>
      <w:r>
        <w:rPr>
          <w:rFonts w:ascii="Times New Roman" w:hAnsi="Times New Roman" w:eastAsia="黑体"/>
          <w:b w:val="0"/>
          <w:color w:val="000000"/>
          <w:sz w:val="30"/>
        </w:rPr>
        <w:t>7．为完成课题所需的条件</w:t>
      </w:r>
    </w:p>
    <w:p>
      <w:pPr>
        <w:spacing w:line="360" w:lineRule="auto" w:before="0" w:after="0"/>
        <w:ind w:firstLineChars="200" w:firstLine="0"/>
      </w:pPr>
      <w:r>
        <w:rPr>
          <w:rFonts w:ascii="Times New Roman" w:hAnsi="Times New Roman" w:eastAsia="宋体"/>
          <w:b w:val="0"/>
          <w:color w:val="000000"/>
          <w:sz w:val="24"/>
        </w:rPr>
        <w:t>（1）计算条件：本地 GPU（RTX 5060，8GB 显存）用于 1.7B 规模模型的全部实验；AutoDL 服务器（RTX 5090，32GB 显存）用于 8B 规模模型的跨规模验证。</w:t>
      </w:r>
    </w:p>
    <w:p>
      <w:pPr>
        <w:spacing w:line="360" w:lineRule="auto" w:before="0" w:after="0"/>
        <w:ind w:firstLineChars="200" w:firstLine="0"/>
      </w:pPr>
      <w:r>
        <w:rPr>
          <w:rFonts w:ascii="Times New Roman" w:hAnsi="Times New Roman" w:eastAsia="宋体"/>
          <w:b w:val="0"/>
          <w:color w:val="000000"/>
          <w:sz w:val="24"/>
        </w:rPr>
        <w:t>（2）软件与工具：PyTorch、TransformerLens（机制可解释性）、PEFT（LoRA 训练）、HuggingFace 生态（数据集与模型离线缓存）。</w:t>
      </w:r>
    </w:p>
    <w:p>
      <w:pPr>
        <w:spacing w:line="360" w:lineRule="auto" w:before="0" w:after="0"/>
        <w:ind w:firstLineChars="200" w:firstLine="0"/>
      </w:pPr>
      <w:r>
        <w:rPr>
          <w:rFonts w:ascii="Times New Roman" w:hAnsi="Times New Roman" w:eastAsia="宋体"/>
          <w:b w:val="0"/>
          <w:color w:val="000000"/>
          <w:sz w:val="24"/>
        </w:rPr>
        <w:t>（3）数据条件：TriviaQA（开放问答）、HellaSwag（多选常识推理）等公开数据集，均已离线缓存，可复现。</w:t>
      </w:r>
    </w:p>
    <w:p>
      <w:pPr>
        <w:spacing w:line="360" w:lineRule="auto" w:before="0" w:after="0"/>
        <w:ind w:firstLineChars="200" w:firstLine="0"/>
      </w:pPr>
      <w:r>
        <w:rPr>
          <w:rFonts w:ascii="Times New Roman" w:hAnsi="Times New Roman" w:eastAsia="宋体"/>
          <w:b w:val="0"/>
          <w:color w:val="000000"/>
          <w:sz w:val="24"/>
        </w:rPr>
        <w:t>（4）文献与理论工具：信息论与率失真理论教材文献、近两年幻觉检测与干预的高水平会议/期刊文献。</w:t>
      </w:r>
    </w:p>
    <w:p>
      <w:pPr>
        <w:spacing w:line="360" w:lineRule="auto" w:before="200" w:after="200"/>
      </w:pPr>
      <w:r>
        <w:rPr>
          <w:rFonts w:ascii="Times New Roman" w:hAnsi="Times New Roman" w:eastAsia="黑体"/>
          <w:b w:val="0"/>
          <w:color w:val="000000"/>
          <w:sz w:val="30"/>
        </w:rPr>
        <w:t>8．研究过程中可能遇到的问题以及解决的措施</w:t>
      </w:r>
    </w:p>
    <w:p>
      <w:pPr>
        <w:spacing w:line="360" w:lineRule="auto" w:before="0" w:after="0"/>
        <w:ind w:firstLineChars="200" w:firstLine="0"/>
      </w:pPr>
      <w:r>
        <w:rPr>
          <w:rFonts w:ascii="Times New Roman" w:hAnsi="Times New Roman" w:eastAsia="宋体"/>
          <w:b w:val="0"/>
          <w:color w:val="000000"/>
          <w:sz w:val="24"/>
        </w:rPr>
        <w:t>（1）评估协议缺陷导致结论不可比。幻觉研究结论对评测协议高度敏感（标签口径、评测集划分、prompt 完整性）。措施：建立并强制执行统一的标准化协议（exact 标签、分层交叉验证、完整 prompt、held-out 选参），全部结论以协议修复后的重跑为准。</w:t>
      </w:r>
    </w:p>
    <w:p>
      <w:pPr>
        <w:spacing w:line="360" w:lineRule="auto" w:before="0" w:after="0"/>
        <w:ind w:firstLineChars="200" w:firstLine="0"/>
      </w:pPr>
      <w:r>
        <w:rPr>
          <w:rFonts w:ascii="Times New Roman" w:hAnsi="Times New Roman" w:eastAsia="宋体"/>
          <w:b w:val="0"/>
          <w:color w:val="000000"/>
          <w:sz w:val="24"/>
        </w:rPr>
        <w:t>（2）干预零效应难以区分"实现问题"与"结构性界限"。措施：不以单次实验下结论，采用大样本（n≥300）+ 双 seed + 置信区间定案；对有效应的方法做逐 token 机制分析，区分可解释机制与轨迹扰动，避免把噪声当干预。</w:t>
      </w:r>
    </w:p>
    <w:p>
      <w:pPr>
        <w:spacing w:line="360" w:lineRule="auto" w:before="0" w:after="0"/>
        <w:ind w:firstLineChars="200" w:firstLine="0"/>
      </w:pPr>
      <w:r>
        <w:rPr>
          <w:rFonts w:ascii="Times New Roman" w:hAnsi="Times New Roman" w:eastAsia="宋体"/>
          <w:b w:val="0"/>
          <w:color w:val="000000"/>
          <w:sz w:val="24"/>
        </w:rPr>
        <w:t>（3）训练时修正伴随灾难性遗忘。措施：以 KL 正则化约束微调幅度，刻画"防遗忘—修正"权衡曲线，在曲线上寻找可接受的工作点，而非追求单点最优。</w:t>
      </w:r>
    </w:p>
    <w:p>
      <w:pPr>
        <w:spacing w:line="360" w:lineRule="auto" w:before="0" w:after="0"/>
        <w:ind w:firstLineChars="200" w:firstLine="0"/>
      </w:pPr>
      <w:r>
        <w:rPr>
          <w:rFonts w:ascii="Times New Roman" w:hAnsi="Times New Roman" w:eastAsia="宋体"/>
          <w:b w:val="0"/>
          <w:color w:val="000000"/>
          <w:sz w:val="24"/>
        </w:rPr>
        <w:t>（4）8B 规模实验受显存与算力限制。措施：1.7B 上完成全部方法验证后再上服务器；服务器实验固定命令模板与环境变量，保证可复现。</w:t>
      </w:r>
    </w:p>
    <w:p>
      <w:pPr>
        <w:spacing w:line="360" w:lineRule="auto" w:before="0" w:after="0"/>
        <w:ind w:firstLineChars="200" w:firstLine="0"/>
      </w:pPr>
      <w:r>
        <w:rPr>
          <w:rFonts w:ascii="Times New Roman" w:hAnsi="Times New Roman" w:eastAsia="宋体"/>
          <w:b w:val="0"/>
          <w:color w:val="000000"/>
          <w:sz w:val="24"/>
        </w:rPr>
        <w:t>（5）统计检验模型选择影响结论（如基线为定义值时的检验）。措施：结论一律以 Clopper-Pearson 置信区间与功效分析为准，避免误用检验模型。</w:t>
      </w:r>
    </w:p>
    <w:p>
      <w:pPr>
        <w:spacing w:line="360" w:lineRule="auto" w:before="200" w:after="200"/>
      </w:pPr>
      <w:r>
        <w:rPr>
          <w:rFonts w:ascii="Times New Roman" w:hAnsi="Times New Roman" w:eastAsia="黑体"/>
          <w:b w:val="0"/>
          <w:color w:val="000000"/>
          <w:sz w:val="30"/>
        </w:rPr>
        <w:t>参考文献（第 1-2 部分引用；格式按学校模板最终调整）</w:t>
      </w:r>
    </w:p>
    <w:p>
      <w:pPr>
        <w:spacing w:line="360" w:lineRule="auto" w:before="0" w:after="0"/>
        <w:ind w:left="482" w:hanging="482"/>
      </w:pPr>
      <w:r>
        <w:rPr>
          <w:rFonts w:ascii="Times New Roman" w:hAnsi="Times New Roman" w:eastAsia="宋体"/>
          <w:b w:val="0"/>
          <w:color w:val="000000"/>
          <w:sz w:val="24"/>
        </w:rPr>
        <w:t>[1] Guo A., Li J. Hallucination is a Consequence of Space-Optimality: A Rate-Distortion Theorem for Membership Testing. arXiv:2602.00906, ICML 2026.</w:t>
      </w:r>
    </w:p>
    <w:p>
      <w:pPr>
        <w:spacing w:line="360" w:lineRule="auto" w:before="0" w:after="0"/>
        <w:ind w:left="482" w:hanging="482"/>
      </w:pPr>
      <w:r>
        <w:rPr>
          <w:rFonts w:ascii="Times New Roman" w:hAnsi="Times New Roman" w:eastAsia="宋体"/>
          <w:b w:val="0"/>
          <w:color w:val="000000"/>
          <w:sz w:val="24"/>
        </w:rPr>
        <w:t>[2] Kalai A. T., Vempala S. S. Calibrated Language Models Must Hallucinate. In Proc. of STOC, 2024.</w:t>
      </w:r>
    </w:p>
    <w:p>
      <w:pPr>
        <w:spacing w:line="360" w:lineRule="auto" w:before="0" w:after="0"/>
        <w:ind w:left="482" w:hanging="482"/>
      </w:pPr>
      <w:r>
        <w:rPr>
          <w:rFonts w:ascii="Times New Roman" w:hAnsi="Times New Roman" w:eastAsia="宋体"/>
          <w:b w:val="0"/>
          <w:color w:val="000000"/>
          <w:sz w:val="24"/>
        </w:rPr>
        <w:t>[3] Shannon C. E. Coding Theorems for a Discrete Source with a Fidelity Criterion. IRE National Convention Record, 1959.</w:t>
      </w:r>
    </w:p>
    <w:p>
      <w:pPr>
        <w:spacing w:line="360" w:lineRule="auto" w:before="0" w:after="0"/>
        <w:ind w:left="482" w:hanging="482"/>
      </w:pPr>
      <w:r>
        <w:rPr>
          <w:rFonts w:ascii="Times New Roman" w:hAnsi="Times New Roman" w:eastAsia="宋体"/>
          <w:b w:val="0"/>
          <w:color w:val="000000"/>
          <w:sz w:val="24"/>
        </w:rPr>
        <w:t>[4] Carter L., Floyd R., Gill J., Markowsky G., Wegman M. Exact and Approximate Membership Testers. In Proc. of STOC, 1978.</w:t>
      </w:r>
    </w:p>
    <w:p>
      <w:pPr>
        <w:spacing w:line="360" w:lineRule="auto" w:before="0" w:after="0"/>
        <w:ind w:left="482" w:hanging="482"/>
      </w:pPr>
      <w:r>
        <w:rPr>
          <w:rFonts w:ascii="Times New Roman" w:hAnsi="Times New Roman" w:eastAsia="宋体"/>
          <w:b w:val="0"/>
          <w:color w:val="000000"/>
          <w:sz w:val="24"/>
        </w:rPr>
        <w:t>[5] Moslonka T., et al. Entropy Production Rate (EPR/WEPR) Hallucination Detector. 2025.</w:t>
      </w:r>
    </w:p>
    <w:p>
      <w:pPr>
        <w:spacing w:line="360" w:lineRule="auto" w:before="0" w:after="0"/>
        <w:ind w:left="482" w:hanging="482"/>
      </w:pPr>
      <w:r>
        <w:rPr>
          <w:rFonts w:ascii="Times New Roman" w:hAnsi="Times New Roman" w:eastAsia="宋体"/>
          <w:b w:val="0"/>
          <w:color w:val="000000"/>
          <w:sz w:val="24"/>
        </w:rPr>
        <w:t>[6] Manakul P., Liusie A., Gales M. J. F. SelfCheckGPT: Zero-Resource Black-Box Hallucination Detection for Generative Large Language Models. In Proc. of EMNLP, 2023.</w:t>
      </w:r>
    </w:p>
    <w:p>
      <w:pPr>
        <w:spacing w:line="360" w:lineRule="auto" w:before="0" w:after="0"/>
        <w:ind w:left="482" w:hanging="482"/>
      </w:pPr>
      <w:r>
        <w:rPr>
          <w:rFonts w:ascii="Times New Roman" w:hAnsi="Times New Roman" w:eastAsia="宋体"/>
          <w:b w:val="0"/>
          <w:color w:val="000000"/>
          <w:sz w:val="24"/>
        </w:rPr>
        <w:t>[7] Farquhar S., Kossen J., Kuhn L., Gal Y. Detecting Hallucinations in Large Language Models Using Semantic Entropy. Nature, 2024.</w:t>
      </w:r>
    </w:p>
    <w:p>
      <w:pPr>
        <w:spacing w:line="360" w:lineRule="auto" w:before="0" w:after="0"/>
        <w:ind w:left="482" w:hanging="482"/>
      </w:pPr>
      <w:r>
        <w:rPr>
          <w:rFonts w:ascii="Times New Roman" w:hAnsi="Times New Roman" w:eastAsia="宋体"/>
          <w:b w:val="0"/>
          <w:color w:val="000000"/>
          <w:sz w:val="24"/>
        </w:rPr>
        <w:t>[8] Li K., Patel O., Viégas F., Pfister H., Wattenberg M. Inference-Time Intervention: Eliciting Truthful Answers from a Language Model. In Proc. of NeurIPS, 2023.</w:t>
      </w:r>
    </w:p>
    <w:p>
      <w:pPr>
        <w:spacing w:line="360" w:lineRule="auto" w:before="0" w:after="0"/>
        <w:ind w:left="482" w:hanging="482"/>
      </w:pPr>
      <w:r>
        <w:rPr>
          <w:rFonts w:ascii="Times New Roman" w:hAnsi="Times New Roman" w:eastAsia="宋体"/>
          <w:b w:val="0"/>
          <w:color w:val="000000"/>
          <w:sz w:val="24"/>
        </w:rPr>
        <w:t>[9] Zou A., et al. Representation Engineering: A Top-Down Approach to AI Transparency. arXiv, 2023.</w:t>
      </w:r>
    </w:p>
    <w:p>
      <w:pPr>
        <w:spacing w:line="360" w:lineRule="auto" w:before="0" w:after="0"/>
        <w:ind w:left="482" w:hanging="482"/>
      </w:pPr>
      <w:r>
        <w:rPr>
          <w:rFonts w:ascii="Times New Roman" w:hAnsi="Times New Roman" w:eastAsia="宋体"/>
          <w:b w:val="0"/>
          <w:color w:val="000000"/>
          <w:sz w:val="24"/>
        </w:rPr>
        <w:t>[10] Chuang Y.-S., Xie Y., Luo H., Kim Y., Glass J., He P. DoLa: Decoding by Contrasting Layers Improves Factuality in Large Language Models. In Proc. of ICLR, 2024.</w:t>
      </w:r>
    </w:p>
    <w:p>
      <w:pPr>
        <w:spacing w:line="360" w:lineRule="auto" w:before="0" w:after="0"/>
        <w:ind w:left="482" w:hanging="482"/>
      </w:pPr>
      <w:r>
        <w:rPr>
          <w:rFonts w:ascii="Times New Roman" w:hAnsi="Times New Roman" w:eastAsia="宋体"/>
          <w:b w:val="0"/>
          <w:color w:val="000000"/>
          <w:sz w:val="24"/>
        </w:rPr>
        <w:t>[11] Meng K., Bau D., Andonian A., Belinkov Y. Locating and Editing Factual Associations in GPT. In Proc. of NeurIPS, 2022.</w:t>
      </w:r>
    </w:p>
    <w:p>
      <w:pPr>
        <w:spacing w:line="360" w:lineRule="auto" w:before="0" w:after="0"/>
        <w:ind w:left="482" w:hanging="482"/>
      </w:pPr>
      <w:r>
        <w:rPr>
          <w:rFonts w:ascii="Times New Roman" w:hAnsi="Times New Roman" w:eastAsia="宋体"/>
          <w:b w:val="0"/>
          <w:color w:val="000000"/>
          <w:sz w:val="24"/>
        </w:rPr>
        <w:t>[12] Rafailov R., Sharma A., Mitchell E., Manning C. D., Ermon S., Finn C. Direct Preference Optimization: Your Language Model Is Secretly a Reward Model. In Proc. of NeurIPS, 2023.</w:t>
      </w:r>
    </w:p>
    <w:p>
      <w:pPr>
        <w:spacing w:line="360" w:lineRule="auto" w:before="0" w:after="0"/>
        <w:ind w:left="482" w:hanging="482"/>
      </w:pPr>
      <w:r>
        <w:rPr>
          <w:rFonts w:ascii="Times New Roman" w:hAnsi="Times New Roman" w:eastAsia="宋体"/>
          <w:b w:val="0"/>
          <w:color w:val="000000"/>
          <w:sz w:val="24"/>
        </w:rPr>
        <w:t>[13] Zhang Y., Li Y., Cui L., et al. Siren's Song in the AI Ocean: A Survey on Hallucination in Large Language Models. In Findings of NAACL, 2024.</w:t>
      </w:r>
    </w:p>
    <w:p>
      <w:pPr>
        <w:spacing w:line="360" w:lineRule="auto" w:before="0" w:after="0"/>
        <w:ind w:left="482" w:hanging="482"/>
      </w:pPr>
      <w:r>
        <w:rPr>
          <w:rFonts w:ascii="Times New Roman" w:hAnsi="Times New Roman" w:eastAsia="宋体"/>
          <w:b w:val="0"/>
          <w:color w:val="000000"/>
          <w:sz w:val="24"/>
        </w:rPr>
        <w:t>[14] Li J., Cheng X., Zhao W. X., Nie J.-Y., Wen J.-R. HaluEval: A Large-Scale Hallucination Evaluation Benchmark for Large Language Models. In Proc. of EMNLP, 2023.</w:t>
      </w:r>
    </w:p>
    <w:p>
      <w:pPr>
        <w:spacing w:line="360" w:lineRule="auto" w:before="0" w:after="0"/>
        <w:ind w:left="482" w:hanging="482"/>
      </w:pPr>
      <w:r>
        <w:rPr>
          <w:rFonts w:ascii="Times New Roman" w:hAnsi="Times New Roman" w:eastAsia="宋体"/>
          <w:b w:val="0"/>
          <w:color w:val="000000"/>
          <w:sz w:val="24"/>
        </w:rPr>
        <w:t>[15] Cheng Q., Sun T., Zhang W., et al. Evaluating Hallucinations in Chinese Large Language Models (HalluQA). arXiv:2310.03368.</w:t>
      </w:r>
    </w:p>
    <w:p>
      <w:pPr>
        <w:spacing w:line="360" w:lineRule="auto" w:before="0" w:after="0"/>
        <w:ind w:left="482" w:hanging="482"/>
      </w:pPr>
      <w:r>
        <w:rPr>
          <w:rFonts w:ascii="Times New Roman" w:hAnsi="Times New Roman" w:eastAsia="宋体"/>
          <w:b w:val="0"/>
          <w:color w:val="000000"/>
          <w:sz w:val="24"/>
        </w:rPr>
        <w:t>[16] Liang X., et al. UHGEval: Benchmarking the Hallucination of Chinese Large Language Models via Unconstrained Generation. In Proc. of ACL, 2024.</w:t>
      </w:r>
    </w:p>
    <w:p>
      <w:pPr>
        <w:spacing w:line="360" w:lineRule="auto" w:before="0" w:after="0"/>
        <w:ind w:left="482" w:hanging="482"/>
      </w:pPr>
      <w:r>
        <w:rPr>
          <w:rFonts w:ascii="Times New Roman" w:hAnsi="Times New Roman" w:eastAsia="宋体"/>
          <w:b w:val="0"/>
          <w:color w:val="000000"/>
          <w:sz w:val="24"/>
        </w:rPr>
        <w:t>[17] Zhang S., Yu T., Feng Y. TruthX: Alleviating Hallucinations by Editing Large Language Models in Truthful Space. In Proc. of ACL, 2024.</w:t>
      </w:r>
    </w:p>
    <w:sectPr w:rsidR="00FC693F" w:rsidRPr="0006063C" w:rsidSect="00034616">
      <w:headerReference w:type="default" r:id="rId9"/>
      <w:pgSz w:w="11906" w:h="16838"/>
      <w:pgMar w:top="1440" w:right="1803" w:bottom="1440" w:left="1803"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