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A14" w:rsidRPr="000437F3" w:rsidRDefault="006C5B21">
      <w:pPr>
        <w:spacing w:before="2200"/>
        <w:jc w:val="center"/>
      </w:pPr>
      <w:bookmarkStart w:id="0" w:name="_GoBack"/>
      <w:bookmarkEnd w:id="0"/>
      <w:r w:rsidRPr="000437F3">
        <w:rPr>
          <w:b/>
          <w:bCs/>
          <w:color w:val="7A1F2B"/>
          <w:sz w:val="56"/>
          <w:szCs w:val="56"/>
        </w:rPr>
        <w:t>BUSINESS INSIGHT REPORT</w:t>
      </w:r>
    </w:p>
    <w:p w:rsidR="00032A14" w:rsidRPr="000437F3" w:rsidRDefault="006C5B21">
      <w:pPr>
        <w:pBdr>
          <w:bottom w:val="single" w:sz="12" w:space="10" w:color="C0455B"/>
        </w:pBdr>
        <w:spacing w:before="200" w:after="600"/>
        <w:jc w:val="center"/>
      </w:pPr>
      <w:r w:rsidRPr="000437F3">
        <w:rPr>
          <w:i/>
          <w:iCs/>
          <w:color w:val="C0455B"/>
          <w:sz w:val="28"/>
          <w:szCs w:val="28"/>
        </w:rPr>
        <w:t>Power BI Dashboard Analysis</w:t>
      </w:r>
    </w:p>
    <w:p w:rsidR="00032A14" w:rsidRPr="000437F3" w:rsidRDefault="006C5B21">
      <w:pPr>
        <w:spacing w:before="1400"/>
        <w:jc w:val="center"/>
      </w:pPr>
      <w:r w:rsidRPr="000437F3">
        <w:rPr>
          <w:color w:val="6E6E6E"/>
          <w:sz w:val="22"/>
          <w:szCs w:val="22"/>
        </w:rPr>
        <w:t>Dataset Name</w:t>
      </w:r>
    </w:p>
    <w:p w:rsidR="00032A14" w:rsidRPr="000437F3" w:rsidRDefault="006C5B21">
      <w:pPr>
        <w:spacing w:after="400"/>
        <w:jc w:val="center"/>
      </w:pPr>
      <w:r w:rsidRPr="000437F3">
        <w:rPr>
          <w:b/>
          <w:bCs/>
          <w:color w:val="2B2B2B"/>
          <w:sz w:val="26"/>
          <w:szCs w:val="26"/>
        </w:rPr>
        <w:t>GLOBAL SALES &amp; FINANCIAL PERFORMANCE</w:t>
      </w:r>
    </w:p>
    <w:p w:rsidR="00032A14" w:rsidRPr="000437F3" w:rsidRDefault="006C5B21">
      <w:pPr>
        <w:spacing w:before="600"/>
        <w:jc w:val="center"/>
      </w:pPr>
      <w:r w:rsidRPr="000437F3">
        <w:rPr>
          <w:color w:val="6E6E6E"/>
          <w:sz w:val="22"/>
          <w:szCs w:val="22"/>
        </w:rPr>
        <w:t>Prepared By</w:t>
      </w:r>
    </w:p>
    <w:p w:rsidR="00032A14" w:rsidRPr="000437F3" w:rsidRDefault="006C5B21" w:rsidP="000437F3">
      <w:pPr>
        <w:spacing w:after="400"/>
        <w:jc w:val="center"/>
        <w:sectPr w:rsidR="00032A14" w:rsidRPr="000437F3">
          <w:pgSz w:w="12240" w:h="15840"/>
          <w:pgMar w:top="1080" w:right="1080" w:bottom="1080" w:left="1080" w:header="708" w:footer="708" w:gutter="0"/>
          <w:cols w:space="720"/>
          <w:docGrid w:linePitch="360"/>
        </w:sectPr>
      </w:pPr>
      <w:r w:rsidRPr="000437F3">
        <w:rPr>
          <w:b/>
          <w:bCs/>
          <w:color w:val="2B2B2B"/>
          <w:sz w:val="26"/>
          <w:szCs w:val="26"/>
        </w:rPr>
        <w:t>PRAVEEN KUMAR B</w:t>
      </w:r>
    </w:p>
    <w:p w:rsidR="000437F3" w:rsidRPr="000437F3" w:rsidRDefault="00070D75" w:rsidP="000437F3">
      <w:pPr>
        <w:pStyle w:val="Heading1"/>
        <w:numPr>
          <w:ilvl w:val="0"/>
          <w:numId w:val="3"/>
        </w:numPr>
        <w:pBdr>
          <w:bottom w:val="single" w:sz="8" w:space="4" w:color="7A1F2B"/>
        </w:pBdr>
        <w:spacing w:before="400" w:after="200"/>
        <w:rPr>
          <w:b/>
          <w:bCs/>
          <w:color w:val="7A1F2B"/>
          <w:sz w:val="30"/>
          <w:szCs w:val="30"/>
        </w:rPr>
      </w:pPr>
      <w:r w:rsidRPr="000437F3">
        <w:rPr>
          <w:b/>
          <w:bCs/>
          <w:color w:val="7A1F2B"/>
          <w:sz w:val="30"/>
          <w:szCs w:val="30"/>
        </w:rPr>
        <w:lastRenderedPageBreak/>
        <w:t>INTRODUCTION</w:t>
      </w:r>
    </w:p>
    <w:p w:rsidR="000437F3" w:rsidRPr="000437F3" w:rsidRDefault="006C5B21" w:rsidP="000437F3">
      <w:pPr>
        <w:pStyle w:val="Heading1"/>
        <w:pBdr>
          <w:bottom w:val="single" w:sz="8" w:space="4" w:color="7A1F2B"/>
        </w:pBdr>
        <w:spacing w:before="400" w:after="200"/>
        <w:ind w:left="360"/>
        <w:rPr>
          <w:color w:val="2B2B2B"/>
          <w:sz w:val="22"/>
          <w:szCs w:val="22"/>
        </w:rPr>
      </w:pPr>
      <w:r w:rsidRPr="000437F3">
        <w:rPr>
          <w:color w:val="2B2B2B"/>
          <w:sz w:val="22"/>
          <w:szCs w:val="22"/>
        </w:rPr>
        <w:t>This report presents a comprehensive analysis of the Global Sales &amp; Financial Performance dataset, visualized through an interactive Power BI dashboard. The purpose of this report is to translate the dashboard's key performance indicators and visualization</w:t>
      </w:r>
      <w:r w:rsidRPr="000437F3">
        <w:rPr>
          <w:color w:val="2B2B2B"/>
          <w:sz w:val="22"/>
          <w:szCs w:val="22"/>
        </w:rPr>
        <w:t>s into actionable business insight, covering overall sales and profitability, product category performance, monthly sales trends, regional distribution, and employee contribution.</w:t>
      </w:r>
    </w:p>
    <w:p w:rsidR="000437F3" w:rsidRPr="000437F3" w:rsidRDefault="006C5B21" w:rsidP="000437F3">
      <w:pPr>
        <w:pStyle w:val="Heading1"/>
        <w:pBdr>
          <w:bottom w:val="single" w:sz="8" w:space="4" w:color="7A1F2B"/>
        </w:pBdr>
        <w:spacing w:before="400" w:after="200"/>
        <w:ind w:left="360"/>
      </w:pPr>
      <w:r w:rsidRPr="000437F3">
        <w:rPr>
          <w:color w:val="2B2B2B"/>
          <w:sz w:val="22"/>
          <w:szCs w:val="22"/>
        </w:rPr>
        <w:t>The analysis aims to identify strengths, uncover areas of concern, and suppo</w:t>
      </w:r>
      <w:r w:rsidRPr="000437F3">
        <w:rPr>
          <w:color w:val="2B2B2B"/>
          <w:sz w:val="22"/>
          <w:szCs w:val="22"/>
        </w:rPr>
        <w:t>rt data-driven decision-making across inventory planning, marketing, regional expansion, workforce management, and customer targeting. Each section that follows examines a specific dimension of the business and concludes with observations drawn directly fr</w:t>
      </w:r>
      <w:r w:rsidRPr="000437F3">
        <w:rPr>
          <w:color w:val="2B2B2B"/>
          <w:sz w:val="22"/>
          <w:szCs w:val="22"/>
        </w:rPr>
        <w:t>om the dashboard metrics.</w:t>
      </w:r>
    </w:p>
    <w:p w:rsidR="000437F3" w:rsidRPr="000437F3" w:rsidRDefault="00070D75" w:rsidP="000437F3">
      <w:pPr>
        <w:pStyle w:val="Heading1"/>
        <w:numPr>
          <w:ilvl w:val="0"/>
          <w:numId w:val="3"/>
        </w:numPr>
        <w:pBdr>
          <w:bottom w:val="single" w:sz="8" w:space="4" w:color="7A1F2B"/>
        </w:pBdr>
        <w:spacing w:before="400" w:after="200"/>
        <w:rPr>
          <w:b/>
          <w:bCs/>
          <w:color w:val="7A1F2B"/>
          <w:sz w:val="30"/>
          <w:szCs w:val="30"/>
        </w:rPr>
      </w:pPr>
      <w:r w:rsidRPr="000437F3">
        <w:rPr>
          <w:b/>
          <w:bCs/>
          <w:color w:val="7A1F2B"/>
          <w:sz w:val="30"/>
          <w:szCs w:val="30"/>
        </w:rPr>
        <w:t>DASHBOARD OVERVIEW</w:t>
      </w:r>
    </w:p>
    <w:p w:rsidR="00032A14" w:rsidRPr="000437F3" w:rsidRDefault="006C5B21" w:rsidP="000437F3">
      <w:pPr>
        <w:pStyle w:val="Heading1"/>
        <w:pBdr>
          <w:bottom w:val="single" w:sz="8" w:space="4" w:color="7A1F2B"/>
        </w:pBdr>
        <w:spacing w:before="400" w:after="200"/>
        <w:ind w:left="360"/>
      </w:pPr>
      <w:r w:rsidRPr="000437F3">
        <w:rPr>
          <w:noProof/>
        </w:rPr>
        <w:drawing>
          <wp:inline distT="0" distB="0" distL="0" distR="0">
            <wp:extent cx="590550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71850"/>
                    </a:xfrm>
                    <a:prstGeom prst="rect">
                      <a:avLst/>
                    </a:prstGeom>
                  </pic:spPr>
                </pic:pic>
              </a:graphicData>
            </a:graphic>
          </wp:inline>
        </w:drawing>
      </w:r>
    </w:p>
    <w:p w:rsidR="000437F3" w:rsidRPr="000437F3" w:rsidRDefault="006C5B21" w:rsidP="000437F3">
      <w:pPr>
        <w:spacing w:after="160" w:line="300" w:lineRule="auto"/>
        <w:rPr>
          <w:color w:val="2B2B2B"/>
          <w:sz w:val="22"/>
          <w:szCs w:val="22"/>
        </w:rPr>
      </w:pPr>
      <w:r w:rsidRPr="000437F3">
        <w:rPr>
          <w:color w:val="2B2B2B"/>
          <w:sz w:val="22"/>
          <w:szCs w:val="22"/>
        </w:rPr>
        <w:t>The dashboard consolidates the organization's sales and financial performance into a single view. The top row of KPI cards reports Total Sales (70.64M), Total Profit (25.12M), Total Quantity (300K units), T</w:t>
      </w:r>
      <w:r w:rsidRPr="000437F3">
        <w:rPr>
          <w:color w:val="2B2B2B"/>
          <w:sz w:val="22"/>
          <w:szCs w:val="22"/>
        </w:rPr>
        <w:t xml:space="preserve">otal Cost (45.52M), Order Count (100K), and Average Sales (706.36) per order. Below these cards, six visuals break the performance down by Category, </w:t>
      </w:r>
      <w:proofErr w:type="spellStart"/>
      <w:r w:rsidRPr="000437F3">
        <w:rPr>
          <w:color w:val="2B2B2B"/>
          <w:sz w:val="22"/>
          <w:szCs w:val="22"/>
        </w:rPr>
        <w:t>MonthName</w:t>
      </w:r>
      <w:proofErr w:type="spellEnd"/>
      <w:r w:rsidRPr="000437F3">
        <w:rPr>
          <w:color w:val="2B2B2B"/>
          <w:sz w:val="22"/>
          <w:szCs w:val="22"/>
        </w:rPr>
        <w:t xml:space="preserve">, </w:t>
      </w:r>
      <w:proofErr w:type="spellStart"/>
      <w:r w:rsidRPr="000437F3">
        <w:rPr>
          <w:color w:val="2B2B2B"/>
          <w:sz w:val="22"/>
          <w:szCs w:val="22"/>
        </w:rPr>
        <w:t>EmployeeName</w:t>
      </w:r>
      <w:proofErr w:type="spellEnd"/>
      <w:r w:rsidRPr="000437F3">
        <w:rPr>
          <w:color w:val="2B2B2B"/>
          <w:sz w:val="22"/>
          <w:szCs w:val="22"/>
        </w:rPr>
        <w:t>, and Region, alongside a detailed product-level table listing Total Sales, Total Qu</w:t>
      </w:r>
      <w:r w:rsidRPr="000437F3">
        <w:rPr>
          <w:color w:val="2B2B2B"/>
          <w:sz w:val="22"/>
          <w:szCs w:val="22"/>
        </w:rPr>
        <w:t>antity, and Total Profit for each product. Together, these visuals give both a high-level summary and a granular, product-by-product view of business performance.</w:t>
      </w:r>
    </w:p>
    <w:p w:rsidR="000437F3" w:rsidRPr="000437F3" w:rsidRDefault="000437F3" w:rsidP="000437F3">
      <w:pPr>
        <w:spacing w:after="160" w:line="300" w:lineRule="auto"/>
        <w:rPr>
          <w:color w:val="2B2B2B"/>
          <w:sz w:val="22"/>
          <w:szCs w:val="22"/>
        </w:rPr>
      </w:pPr>
    </w:p>
    <w:p w:rsidR="000437F3" w:rsidRPr="000437F3" w:rsidRDefault="000437F3" w:rsidP="000437F3">
      <w:pPr>
        <w:spacing w:after="160" w:line="300" w:lineRule="auto"/>
        <w:rPr>
          <w:color w:val="2B2B2B"/>
          <w:sz w:val="22"/>
          <w:szCs w:val="22"/>
        </w:rPr>
      </w:pPr>
    </w:p>
    <w:p w:rsidR="000437F3" w:rsidRPr="000437F3" w:rsidRDefault="000437F3" w:rsidP="000437F3">
      <w:pPr>
        <w:spacing w:after="160" w:line="300" w:lineRule="auto"/>
        <w:rPr>
          <w:color w:val="2B2B2B"/>
          <w:sz w:val="22"/>
          <w:szCs w:val="22"/>
        </w:rPr>
      </w:pPr>
    </w:p>
    <w:p w:rsidR="00032A14" w:rsidRPr="000437F3" w:rsidRDefault="00070D75" w:rsidP="000437F3">
      <w:pPr>
        <w:spacing w:after="160" w:line="300" w:lineRule="auto"/>
      </w:pPr>
      <w:r w:rsidRPr="000437F3">
        <w:rPr>
          <w:b/>
          <w:bCs/>
          <w:color w:val="7A1F2B"/>
          <w:sz w:val="30"/>
          <w:szCs w:val="30"/>
        </w:rPr>
        <w:t>3. KPI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032A14" w:rsidRPr="000437F3">
        <w:tblPrEx>
          <w:tblCellMar>
            <w:top w:w="0" w:type="dxa"/>
            <w:bottom w:w="0" w:type="dxa"/>
          </w:tblCellMar>
        </w:tblPrEx>
        <w:tc>
          <w:tcPr>
            <w:tcW w:w="3360" w:type="dxa"/>
            <w:shd w:val="clear" w:color="auto" w:fill="FBE4E7"/>
            <w:tcMar>
              <w:top w:w="160" w:type="dxa"/>
              <w:left w:w="160" w:type="dxa"/>
              <w:bottom w:w="160" w:type="dxa"/>
              <w:right w:w="160" w:type="dxa"/>
            </w:tcMar>
            <w:vAlign w:val="center"/>
          </w:tcPr>
          <w:p w:rsidR="00032A14" w:rsidRPr="000437F3" w:rsidRDefault="006C5B21">
            <w:r w:rsidRPr="000437F3">
              <w:rPr>
                <w:color w:val="6E6E6E"/>
              </w:rPr>
              <w:t>Total Sales</w:t>
            </w:r>
          </w:p>
          <w:p w:rsidR="00032A14" w:rsidRPr="000437F3" w:rsidRDefault="006C5B21">
            <w:pPr>
              <w:spacing w:before="60"/>
            </w:pPr>
            <w:r w:rsidRPr="000437F3">
              <w:rPr>
                <w:b/>
                <w:bCs/>
                <w:color w:val="7A1F2B"/>
                <w:sz w:val="30"/>
                <w:szCs w:val="30"/>
              </w:rPr>
              <w:t>70.64M</w:t>
            </w:r>
          </w:p>
        </w:tc>
        <w:tc>
          <w:tcPr>
            <w:tcW w:w="3360" w:type="dxa"/>
            <w:shd w:val="clear" w:color="auto" w:fill="FBE4E7"/>
            <w:tcMar>
              <w:top w:w="160" w:type="dxa"/>
              <w:left w:w="160" w:type="dxa"/>
              <w:bottom w:w="160" w:type="dxa"/>
              <w:right w:w="160" w:type="dxa"/>
            </w:tcMar>
            <w:vAlign w:val="center"/>
          </w:tcPr>
          <w:p w:rsidR="00032A14" w:rsidRPr="000437F3" w:rsidRDefault="006C5B21">
            <w:r w:rsidRPr="000437F3">
              <w:rPr>
                <w:color w:val="6E6E6E"/>
              </w:rPr>
              <w:t>Total Profit</w:t>
            </w:r>
          </w:p>
          <w:p w:rsidR="00032A14" w:rsidRPr="000437F3" w:rsidRDefault="006C5B21">
            <w:pPr>
              <w:spacing w:before="60"/>
            </w:pPr>
            <w:r w:rsidRPr="000437F3">
              <w:rPr>
                <w:b/>
                <w:bCs/>
                <w:color w:val="7A1F2B"/>
                <w:sz w:val="30"/>
                <w:szCs w:val="30"/>
              </w:rPr>
              <w:t>25.12M</w:t>
            </w:r>
          </w:p>
        </w:tc>
        <w:tc>
          <w:tcPr>
            <w:tcW w:w="3360" w:type="dxa"/>
            <w:shd w:val="clear" w:color="auto" w:fill="FBE4E7"/>
            <w:tcMar>
              <w:top w:w="160" w:type="dxa"/>
              <w:left w:w="160" w:type="dxa"/>
              <w:bottom w:w="160" w:type="dxa"/>
              <w:right w:w="160" w:type="dxa"/>
            </w:tcMar>
            <w:vAlign w:val="center"/>
          </w:tcPr>
          <w:p w:rsidR="00032A14" w:rsidRPr="000437F3" w:rsidRDefault="006C5B21">
            <w:r w:rsidRPr="000437F3">
              <w:rPr>
                <w:color w:val="6E6E6E"/>
              </w:rPr>
              <w:t>Total Quantity</w:t>
            </w:r>
          </w:p>
          <w:p w:rsidR="00032A14" w:rsidRPr="000437F3" w:rsidRDefault="006C5B21">
            <w:pPr>
              <w:spacing w:before="60"/>
            </w:pPr>
            <w:r w:rsidRPr="000437F3">
              <w:rPr>
                <w:b/>
                <w:bCs/>
                <w:color w:val="7A1F2B"/>
                <w:sz w:val="30"/>
                <w:szCs w:val="30"/>
              </w:rPr>
              <w:t>300K</w:t>
            </w:r>
          </w:p>
        </w:tc>
      </w:tr>
      <w:tr w:rsidR="00032A14" w:rsidRPr="000437F3">
        <w:tblPrEx>
          <w:tblCellMar>
            <w:top w:w="0" w:type="dxa"/>
            <w:bottom w:w="0" w:type="dxa"/>
          </w:tblCellMar>
        </w:tblPrEx>
        <w:tc>
          <w:tcPr>
            <w:tcW w:w="3360" w:type="dxa"/>
            <w:shd w:val="clear" w:color="auto" w:fill="FBE4E7"/>
            <w:tcMar>
              <w:top w:w="160" w:type="dxa"/>
              <w:left w:w="160" w:type="dxa"/>
              <w:bottom w:w="160" w:type="dxa"/>
              <w:right w:w="160" w:type="dxa"/>
            </w:tcMar>
            <w:vAlign w:val="center"/>
          </w:tcPr>
          <w:p w:rsidR="00032A14" w:rsidRPr="000437F3" w:rsidRDefault="006C5B21">
            <w:r w:rsidRPr="000437F3">
              <w:rPr>
                <w:color w:val="6E6E6E"/>
              </w:rPr>
              <w:t>Total Cost</w:t>
            </w:r>
          </w:p>
          <w:p w:rsidR="00032A14" w:rsidRPr="000437F3" w:rsidRDefault="006C5B21">
            <w:pPr>
              <w:spacing w:before="60"/>
            </w:pPr>
            <w:r w:rsidRPr="000437F3">
              <w:rPr>
                <w:b/>
                <w:bCs/>
                <w:color w:val="7A1F2B"/>
                <w:sz w:val="30"/>
                <w:szCs w:val="30"/>
              </w:rPr>
              <w:t>45.52M</w:t>
            </w:r>
          </w:p>
        </w:tc>
        <w:tc>
          <w:tcPr>
            <w:tcW w:w="3360" w:type="dxa"/>
            <w:shd w:val="clear" w:color="auto" w:fill="FBE4E7"/>
            <w:tcMar>
              <w:top w:w="160" w:type="dxa"/>
              <w:left w:w="160" w:type="dxa"/>
              <w:bottom w:w="160" w:type="dxa"/>
              <w:right w:w="160" w:type="dxa"/>
            </w:tcMar>
            <w:vAlign w:val="center"/>
          </w:tcPr>
          <w:p w:rsidR="00032A14" w:rsidRPr="000437F3" w:rsidRDefault="006C5B21">
            <w:r w:rsidRPr="000437F3">
              <w:rPr>
                <w:color w:val="6E6E6E"/>
              </w:rPr>
              <w:t>Order Count</w:t>
            </w:r>
          </w:p>
          <w:p w:rsidR="00032A14" w:rsidRPr="000437F3" w:rsidRDefault="006C5B21">
            <w:pPr>
              <w:spacing w:before="60"/>
            </w:pPr>
            <w:r w:rsidRPr="000437F3">
              <w:rPr>
                <w:b/>
                <w:bCs/>
                <w:color w:val="7A1F2B"/>
                <w:sz w:val="30"/>
                <w:szCs w:val="30"/>
              </w:rPr>
              <w:t>100K</w:t>
            </w:r>
          </w:p>
        </w:tc>
        <w:tc>
          <w:tcPr>
            <w:tcW w:w="3360" w:type="dxa"/>
            <w:shd w:val="clear" w:color="auto" w:fill="FBE4E7"/>
            <w:tcMar>
              <w:top w:w="160" w:type="dxa"/>
              <w:left w:w="160" w:type="dxa"/>
              <w:bottom w:w="160" w:type="dxa"/>
              <w:right w:w="160" w:type="dxa"/>
            </w:tcMar>
            <w:vAlign w:val="center"/>
          </w:tcPr>
          <w:p w:rsidR="00032A14" w:rsidRPr="000437F3" w:rsidRDefault="006C5B21">
            <w:r w:rsidRPr="000437F3">
              <w:rPr>
                <w:color w:val="6E6E6E"/>
              </w:rPr>
              <w:t>Average Sales</w:t>
            </w:r>
          </w:p>
          <w:p w:rsidR="00032A14" w:rsidRPr="000437F3" w:rsidRDefault="006C5B21">
            <w:pPr>
              <w:spacing w:before="60"/>
            </w:pPr>
            <w:r w:rsidRPr="000437F3">
              <w:rPr>
                <w:b/>
                <w:bCs/>
                <w:color w:val="7A1F2B"/>
                <w:sz w:val="30"/>
                <w:szCs w:val="30"/>
              </w:rPr>
              <w:t>706.36</w:t>
            </w:r>
          </w:p>
        </w:tc>
      </w:tr>
    </w:tbl>
    <w:p w:rsidR="00032A14" w:rsidRPr="000437F3" w:rsidRDefault="00032A14">
      <w:pPr>
        <w:spacing w:before="200"/>
      </w:pPr>
    </w:p>
    <w:p w:rsidR="00032A14" w:rsidRPr="000437F3" w:rsidRDefault="006C5B21">
      <w:pPr>
        <w:spacing w:after="160" w:line="300" w:lineRule="auto"/>
      </w:pPr>
      <w:r w:rsidRPr="000437F3">
        <w:rPr>
          <w:color w:val="2B2B2B"/>
          <w:sz w:val="22"/>
          <w:szCs w:val="22"/>
        </w:rPr>
        <w:t>The business generated Total Sales of 70.64M against a Total Cost of 45.52M, resulting in a Total Profit of 25.12M — an overall profit margin of approximately 35.5%. This is a healthy margin, indicating that pricing and cost control are generally well mana</w:t>
      </w:r>
      <w:r w:rsidRPr="000437F3">
        <w:rPr>
          <w:color w:val="2B2B2B"/>
          <w:sz w:val="22"/>
          <w:szCs w:val="22"/>
        </w:rPr>
        <w:t>ged across the product range.</w:t>
      </w:r>
    </w:p>
    <w:p w:rsidR="00032A14" w:rsidRPr="000437F3" w:rsidRDefault="006C5B21">
      <w:pPr>
        <w:spacing w:after="160" w:line="300" w:lineRule="auto"/>
      </w:pPr>
      <w:r w:rsidRPr="000437F3">
        <w:rPr>
          <w:color w:val="2B2B2B"/>
          <w:sz w:val="22"/>
          <w:szCs w:val="22"/>
        </w:rPr>
        <w:t xml:space="preserve">A total of 100K orders were processed, moving 300K units, which places the Average Sales value per order at 706.36. This relatively modest per-order value, combined with a high order count, suggests the business operates on a </w:t>
      </w:r>
      <w:r w:rsidRPr="000437F3">
        <w:rPr>
          <w:color w:val="2B2B2B"/>
          <w:sz w:val="22"/>
          <w:szCs w:val="22"/>
        </w:rPr>
        <w:t>high-volume, moderate-ticket-size model rather than relying on a small number of large transactions.</w:t>
      </w:r>
    </w:p>
    <w:p w:rsidR="000437F3" w:rsidRPr="000437F3" w:rsidRDefault="006C5B21" w:rsidP="000437F3">
      <w:pPr>
        <w:spacing w:after="160" w:line="300" w:lineRule="auto"/>
        <w:rPr>
          <w:color w:val="2B2B2B"/>
          <w:sz w:val="22"/>
          <w:szCs w:val="22"/>
        </w:rPr>
      </w:pPr>
      <w:r w:rsidRPr="000437F3">
        <w:rPr>
          <w:color w:val="2B2B2B"/>
          <w:sz w:val="22"/>
          <w:szCs w:val="22"/>
        </w:rPr>
        <w:t>Overall, the KPI summary points to a financially stable operation with strong profitability, but the average order value signals an opportunity to grow rev</w:t>
      </w:r>
      <w:r w:rsidRPr="000437F3">
        <w:rPr>
          <w:color w:val="2B2B2B"/>
          <w:sz w:val="22"/>
          <w:szCs w:val="22"/>
        </w:rPr>
        <w:t>enue through upselling or bundling rather than through order volume alone.</w:t>
      </w:r>
    </w:p>
    <w:p w:rsidR="00032A14" w:rsidRPr="000437F3" w:rsidRDefault="00070D75" w:rsidP="000437F3">
      <w:pPr>
        <w:spacing w:after="160" w:line="300" w:lineRule="auto"/>
      </w:pPr>
      <w:r w:rsidRPr="000437F3">
        <w:rPr>
          <w:b/>
          <w:bCs/>
          <w:color w:val="7A1F2B"/>
          <w:sz w:val="30"/>
          <w:szCs w:val="30"/>
        </w:rPr>
        <w:t>4. PRODUCT CATEGORY PERFORMANCE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8"/>
        <w:gridCol w:w="4032"/>
      </w:tblGrid>
      <w:tr w:rsidR="00032A14" w:rsidRPr="000437F3">
        <w:tblPrEx>
          <w:tblCellMar>
            <w:top w:w="0" w:type="dxa"/>
            <w:bottom w:w="0" w:type="dxa"/>
          </w:tblCellMar>
        </w:tblPrEx>
        <w:trPr>
          <w:tblHeader/>
        </w:trPr>
        <w:tc>
          <w:tcPr>
            <w:tcW w:w="6048" w:type="dxa"/>
            <w:shd w:val="clear" w:color="auto" w:fill="7A1F2B"/>
            <w:tcMar>
              <w:top w:w="100" w:type="dxa"/>
              <w:left w:w="120" w:type="dxa"/>
              <w:bottom w:w="100" w:type="dxa"/>
              <w:right w:w="120" w:type="dxa"/>
            </w:tcMar>
          </w:tcPr>
          <w:p w:rsidR="00032A14" w:rsidRPr="000437F3" w:rsidRDefault="006C5B21">
            <w:r w:rsidRPr="000437F3">
              <w:rPr>
                <w:b/>
                <w:bCs/>
                <w:color w:val="FFFFFF"/>
              </w:rPr>
              <w:t>Category</w:t>
            </w:r>
          </w:p>
        </w:tc>
        <w:tc>
          <w:tcPr>
            <w:tcW w:w="4032" w:type="dxa"/>
            <w:shd w:val="clear" w:color="auto" w:fill="7A1F2B"/>
            <w:tcMar>
              <w:top w:w="100" w:type="dxa"/>
              <w:left w:w="120" w:type="dxa"/>
              <w:bottom w:w="100" w:type="dxa"/>
              <w:right w:w="120" w:type="dxa"/>
            </w:tcMar>
          </w:tcPr>
          <w:p w:rsidR="00032A14" w:rsidRPr="000437F3" w:rsidRDefault="006C5B21">
            <w:r w:rsidRPr="000437F3">
              <w:rPr>
                <w:b/>
                <w:bCs/>
                <w:color w:val="FFFFFF"/>
              </w:rPr>
              <w:t>Total Sales</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Clothing</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14M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Accessories</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13M</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Kitchen</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13M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Electronics</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11M</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Outdoors</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10M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Furniture</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10M</w:t>
            </w:r>
          </w:p>
        </w:tc>
      </w:tr>
    </w:tbl>
    <w:p w:rsidR="00032A14" w:rsidRPr="000437F3" w:rsidRDefault="00032A14">
      <w:pPr>
        <w:spacing w:before="200"/>
      </w:pPr>
    </w:p>
    <w:p w:rsidR="00032A14" w:rsidRPr="000437F3" w:rsidRDefault="006C5B21">
      <w:pPr>
        <w:spacing w:after="160" w:line="300" w:lineRule="auto"/>
      </w:pPr>
      <w:r w:rsidRPr="000437F3">
        <w:rPr>
          <w:color w:val="2B2B2B"/>
          <w:sz w:val="22"/>
          <w:szCs w:val="22"/>
        </w:rPr>
        <w:t>Clothing leads all categories with 14M in total sales, closely followed by Accessories and Kitchen at 13M each. Electronics trails at 11M, while Outdoors and Furniture are the weakest performers, each contributing 10M. The spread between the top and bottom</w:t>
      </w:r>
      <w:r w:rsidRPr="000437F3">
        <w:rPr>
          <w:color w:val="2B2B2B"/>
          <w:sz w:val="22"/>
          <w:szCs w:val="22"/>
        </w:rPr>
        <w:t xml:space="preserve"> categories is relatively narrow (a 4M gap), indicating a fairly balanced product portfolio rather than dependence on a single dominant category.</w:t>
      </w:r>
    </w:p>
    <w:p w:rsidR="000437F3" w:rsidRPr="000437F3" w:rsidRDefault="006C5B21" w:rsidP="000437F3">
      <w:pPr>
        <w:spacing w:after="160" w:line="300" w:lineRule="auto"/>
        <w:rPr>
          <w:color w:val="2B2B2B"/>
          <w:sz w:val="22"/>
          <w:szCs w:val="22"/>
        </w:rPr>
      </w:pPr>
      <w:r w:rsidRPr="000437F3">
        <w:rPr>
          <w:color w:val="2B2B2B"/>
          <w:sz w:val="22"/>
          <w:szCs w:val="22"/>
        </w:rPr>
        <w:t>Clothing, Accessories, and Kitchen together account for the largest share of revenue and should be prioritized</w:t>
      </w:r>
      <w:r w:rsidRPr="000437F3">
        <w:rPr>
          <w:color w:val="2B2B2B"/>
          <w:sz w:val="22"/>
          <w:szCs w:val="22"/>
        </w:rPr>
        <w:t xml:space="preserve"> for inventory availability and marketing investment, while Furniture and Outdoors may need promotional support or a review of pricing and assortment to close the performance gap.</w:t>
      </w:r>
    </w:p>
    <w:p w:rsidR="000437F3" w:rsidRPr="000437F3" w:rsidRDefault="000437F3" w:rsidP="000437F3">
      <w:pPr>
        <w:spacing w:after="160" w:line="300" w:lineRule="auto"/>
        <w:rPr>
          <w:b/>
          <w:bCs/>
          <w:color w:val="7A1F2B"/>
          <w:sz w:val="30"/>
          <w:szCs w:val="30"/>
        </w:rPr>
      </w:pPr>
    </w:p>
    <w:p w:rsidR="000437F3" w:rsidRPr="000437F3" w:rsidRDefault="000437F3" w:rsidP="000437F3">
      <w:pPr>
        <w:spacing w:after="160" w:line="300" w:lineRule="auto"/>
        <w:rPr>
          <w:b/>
          <w:bCs/>
          <w:color w:val="7A1F2B"/>
          <w:sz w:val="30"/>
          <w:szCs w:val="30"/>
        </w:rPr>
      </w:pPr>
    </w:p>
    <w:p w:rsidR="00032A14" w:rsidRPr="000437F3" w:rsidRDefault="00070D75" w:rsidP="000437F3">
      <w:pPr>
        <w:spacing w:after="160" w:line="300" w:lineRule="auto"/>
      </w:pPr>
      <w:r w:rsidRPr="000437F3">
        <w:rPr>
          <w:b/>
          <w:bCs/>
          <w:color w:val="7A1F2B"/>
          <w:sz w:val="30"/>
          <w:szCs w:val="30"/>
        </w:rPr>
        <w:t>5. MONTHLY SALES TREND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8"/>
        <w:gridCol w:w="4032"/>
      </w:tblGrid>
      <w:tr w:rsidR="00032A14" w:rsidRPr="000437F3">
        <w:tblPrEx>
          <w:tblCellMar>
            <w:top w:w="0" w:type="dxa"/>
            <w:bottom w:w="0" w:type="dxa"/>
          </w:tblCellMar>
        </w:tblPrEx>
        <w:trPr>
          <w:tblHeader/>
        </w:trPr>
        <w:tc>
          <w:tcPr>
            <w:tcW w:w="6048" w:type="dxa"/>
            <w:shd w:val="clear" w:color="auto" w:fill="7A1F2B"/>
            <w:tcMar>
              <w:top w:w="100" w:type="dxa"/>
              <w:left w:w="120" w:type="dxa"/>
              <w:bottom w:w="100" w:type="dxa"/>
              <w:right w:w="120" w:type="dxa"/>
            </w:tcMar>
          </w:tcPr>
          <w:p w:rsidR="00032A14" w:rsidRPr="000437F3" w:rsidRDefault="006C5B21">
            <w:r w:rsidRPr="000437F3">
              <w:rPr>
                <w:b/>
                <w:bCs/>
                <w:color w:val="FFFFFF"/>
              </w:rPr>
              <w:t>Month</w:t>
            </w:r>
          </w:p>
        </w:tc>
        <w:tc>
          <w:tcPr>
            <w:tcW w:w="4032" w:type="dxa"/>
            <w:shd w:val="clear" w:color="auto" w:fill="7A1F2B"/>
            <w:tcMar>
              <w:top w:w="100" w:type="dxa"/>
              <w:left w:w="120" w:type="dxa"/>
              <w:bottom w:w="100" w:type="dxa"/>
              <w:right w:w="120" w:type="dxa"/>
            </w:tcMar>
          </w:tcPr>
          <w:p w:rsidR="00032A14" w:rsidRPr="000437F3" w:rsidRDefault="006C5B21">
            <w:r w:rsidRPr="000437F3">
              <w:rPr>
                <w:b/>
                <w:bCs/>
                <w:color w:val="FFFFFF"/>
              </w:rPr>
              <w:t>Total Sales</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December</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6.19M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May</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5.99M</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January</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6.05M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August</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5.91M</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March</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5.85M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October</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5.86M</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July</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5.75M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April</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5.73M</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June</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5.60M</w:t>
            </w:r>
          </w:p>
        </w:tc>
      </w:tr>
    </w:tbl>
    <w:p w:rsidR="00032A14" w:rsidRPr="000437F3" w:rsidRDefault="00032A14">
      <w:pPr>
        <w:spacing w:before="200"/>
      </w:pPr>
    </w:p>
    <w:p w:rsidR="00032A14" w:rsidRPr="000437F3" w:rsidRDefault="006C5B21">
      <w:pPr>
        <w:spacing w:after="160" w:line="300" w:lineRule="auto"/>
      </w:pPr>
      <w:r w:rsidRPr="000437F3">
        <w:rPr>
          <w:color w:val="2B2B2B"/>
          <w:sz w:val="22"/>
          <w:szCs w:val="22"/>
        </w:rPr>
        <w:t>Monthly sales show a gradual downward trend across the year, starting at a peak of 6.19M in December and declining through the following months to a low of 5.60M in June. January (6.05M), May (5.99M), and October (5.86M) are the next strongest months, whil</w:t>
      </w:r>
      <w:r w:rsidRPr="000437F3">
        <w:rPr>
          <w:color w:val="2B2B2B"/>
          <w:sz w:val="22"/>
          <w:szCs w:val="22"/>
        </w:rPr>
        <w:t>e June is the weakest point on the chart.</w:t>
      </w:r>
    </w:p>
    <w:p w:rsidR="000437F3" w:rsidRPr="000437F3" w:rsidRDefault="006C5B21" w:rsidP="000437F3">
      <w:pPr>
        <w:spacing w:after="160" w:line="300" w:lineRule="auto"/>
        <w:rPr>
          <w:color w:val="2B2B2B"/>
          <w:sz w:val="22"/>
          <w:szCs w:val="22"/>
        </w:rPr>
      </w:pPr>
      <w:r w:rsidRPr="000437F3">
        <w:rPr>
          <w:color w:val="2B2B2B"/>
          <w:sz w:val="22"/>
          <w:szCs w:val="22"/>
        </w:rPr>
        <w:t xml:space="preserve">The overall pattern suggests seasonal softening moving from the winter months into mid-year, with December standing out </w:t>
      </w:r>
      <w:r w:rsidR="00C2697E" w:rsidRPr="000437F3">
        <w:rPr>
          <w:color w:val="2B2B2B"/>
          <w:sz w:val="22"/>
          <w:szCs w:val="22"/>
        </w:rPr>
        <w:t xml:space="preserve">as the strongest sales period </w:t>
      </w:r>
      <w:r w:rsidRPr="000437F3">
        <w:rPr>
          <w:color w:val="2B2B2B"/>
          <w:sz w:val="22"/>
          <w:szCs w:val="22"/>
        </w:rPr>
        <w:t>likely tied to holiday or year-end purchasing. This trend supp</w:t>
      </w:r>
      <w:r w:rsidRPr="000437F3">
        <w:rPr>
          <w:color w:val="2B2B2B"/>
          <w:sz w:val="22"/>
          <w:szCs w:val="22"/>
        </w:rPr>
        <w:t>orts timing major promotions and inventory build-up ahead of the December peak, and investigating targeted campaigns to lift sales during the June trough.</w:t>
      </w:r>
    </w:p>
    <w:p w:rsidR="00032A14" w:rsidRPr="000437F3" w:rsidRDefault="00070D75" w:rsidP="000437F3">
      <w:pPr>
        <w:spacing w:after="160" w:line="300" w:lineRule="auto"/>
      </w:pPr>
      <w:r w:rsidRPr="000437F3">
        <w:rPr>
          <w:b/>
          <w:bCs/>
          <w:color w:val="7A1F2B"/>
          <w:sz w:val="30"/>
          <w:szCs w:val="30"/>
        </w:rPr>
        <w:t>6.REGIONAL SALES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3024"/>
        <w:gridCol w:w="3024"/>
      </w:tblGrid>
      <w:tr w:rsidR="00032A14" w:rsidRPr="000437F3">
        <w:tblPrEx>
          <w:tblCellMar>
            <w:top w:w="0" w:type="dxa"/>
            <w:bottom w:w="0" w:type="dxa"/>
          </w:tblCellMar>
        </w:tblPrEx>
        <w:trPr>
          <w:tblHeader/>
        </w:trPr>
        <w:tc>
          <w:tcPr>
            <w:tcW w:w="4032" w:type="dxa"/>
            <w:shd w:val="clear" w:color="auto" w:fill="7A1F2B"/>
            <w:tcMar>
              <w:top w:w="100" w:type="dxa"/>
              <w:left w:w="120" w:type="dxa"/>
              <w:bottom w:w="100" w:type="dxa"/>
              <w:right w:w="120" w:type="dxa"/>
            </w:tcMar>
          </w:tcPr>
          <w:p w:rsidR="00032A14" w:rsidRPr="000437F3" w:rsidRDefault="006C5B21">
            <w:r w:rsidRPr="000437F3">
              <w:rPr>
                <w:b/>
                <w:bCs/>
                <w:color w:val="FFFFFF"/>
              </w:rPr>
              <w:t>Region</w:t>
            </w:r>
          </w:p>
        </w:tc>
        <w:tc>
          <w:tcPr>
            <w:tcW w:w="3024" w:type="dxa"/>
            <w:shd w:val="clear" w:color="auto" w:fill="7A1F2B"/>
            <w:tcMar>
              <w:top w:w="100" w:type="dxa"/>
              <w:left w:w="120" w:type="dxa"/>
              <w:bottom w:w="100" w:type="dxa"/>
              <w:right w:w="120" w:type="dxa"/>
            </w:tcMar>
          </w:tcPr>
          <w:p w:rsidR="00032A14" w:rsidRPr="000437F3" w:rsidRDefault="006C5B21">
            <w:r w:rsidRPr="000437F3">
              <w:rPr>
                <w:b/>
                <w:bCs/>
                <w:color w:val="FFFFFF"/>
              </w:rPr>
              <w:t>Total Sales</w:t>
            </w:r>
          </w:p>
        </w:tc>
        <w:tc>
          <w:tcPr>
            <w:tcW w:w="3024" w:type="dxa"/>
            <w:shd w:val="clear" w:color="auto" w:fill="7A1F2B"/>
            <w:tcMar>
              <w:top w:w="100" w:type="dxa"/>
              <w:left w:w="120" w:type="dxa"/>
              <w:bottom w:w="100" w:type="dxa"/>
              <w:right w:w="120" w:type="dxa"/>
            </w:tcMar>
          </w:tcPr>
          <w:p w:rsidR="00032A14" w:rsidRPr="000437F3" w:rsidRDefault="006C5B21">
            <w:r w:rsidRPr="000437F3">
              <w:rPr>
                <w:b/>
                <w:bCs/>
                <w:color w:val="FFFFFF"/>
              </w:rPr>
              <w:t>% of Total</w:t>
            </w:r>
          </w:p>
        </w:tc>
      </w:tr>
      <w:tr w:rsidR="00032A14" w:rsidRPr="000437F3">
        <w:tblPrEx>
          <w:tblCellMar>
            <w:top w:w="0" w:type="dxa"/>
            <w:bottom w:w="0" w:type="dxa"/>
          </w:tblCellMar>
        </w:tblPrEx>
        <w:tc>
          <w:tcPr>
            <w:tcW w:w="4032" w:type="dxa"/>
            <w:shd w:val="clear" w:color="auto" w:fill="FFFFFF"/>
            <w:tcMar>
              <w:top w:w="80" w:type="dxa"/>
              <w:left w:w="120" w:type="dxa"/>
              <w:bottom w:w="80" w:type="dxa"/>
              <w:right w:w="120" w:type="dxa"/>
            </w:tcMar>
          </w:tcPr>
          <w:p w:rsidR="00032A14" w:rsidRPr="000437F3" w:rsidRDefault="006C5B21">
            <w:r w:rsidRPr="000437F3">
              <w:rPr>
                <w:color w:val="2B2B2B"/>
              </w:rPr>
              <w:t>North</w:t>
            </w:r>
          </w:p>
        </w:tc>
        <w:tc>
          <w:tcPr>
            <w:tcW w:w="3024"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14.29M</w:t>
            </w:r>
          </w:p>
        </w:tc>
        <w:tc>
          <w:tcPr>
            <w:tcW w:w="3024"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20.23%</w:t>
            </w:r>
          </w:p>
        </w:tc>
      </w:tr>
      <w:tr w:rsidR="00032A14" w:rsidRPr="000437F3">
        <w:tblPrEx>
          <w:tblCellMar>
            <w:top w:w="0" w:type="dxa"/>
            <w:bottom w:w="0" w:type="dxa"/>
          </w:tblCellMar>
        </w:tblPrEx>
        <w:tc>
          <w:tcPr>
            <w:tcW w:w="4032" w:type="dxa"/>
            <w:shd w:val="clear" w:color="auto" w:fill="FBE4E7"/>
            <w:tcMar>
              <w:top w:w="80" w:type="dxa"/>
              <w:left w:w="120" w:type="dxa"/>
              <w:bottom w:w="80" w:type="dxa"/>
              <w:right w:w="120" w:type="dxa"/>
            </w:tcMar>
          </w:tcPr>
          <w:p w:rsidR="00032A14" w:rsidRPr="000437F3" w:rsidRDefault="006C5B21">
            <w:r w:rsidRPr="000437F3">
              <w:rPr>
                <w:color w:val="2B2B2B"/>
              </w:rPr>
              <w:t>East</w:t>
            </w:r>
          </w:p>
        </w:tc>
        <w:tc>
          <w:tcPr>
            <w:tcW w:w="3024"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14.16M</w:t>
            </w:r>
          </w:p>
        </w:tc>
        <w:tc>
          <w:tcPr>
            <w:tcW w:w="3024"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20.04%</w:t>
            </w:r>
          </w:p>
        </w:tc>
      </w:tr>
      <w:tr w:rsidR="00032A14" w:rsidRPr="000437F3">
        <w:tblPrEx>
          <w:tblCellMar>
            <w:top w:w="0" w:type="dxa"/>
            <w:bottom w:w="0" w:type="dxa"/>
          </w:tblCellMar>
        </w:tblPrEx>
        <w:tc>
          <w:tcPr>
            <w:tcW w:w="4032" w:type="dxa"/>
            <w:shd w:val="clear" w:color="auto" w:fill="FFFFFF"/>
            <w:tcMar>
              <w:top w:w="80" w:type="dxa"/>
              <w:left w:w="120" w:type="dxa"/>
              <w:bottom w:w="80" w:type="dxa"/>
              <w:right w:w="120" w:type="dxa"/>
            </w:tcMar>
          </w:tcPr>
          <w:p w:rsidR="00032A14" w:rsidRPr="000437F3" w:rsidRDefault="006C5B21">
            <w:r w:rsidRPr="000437F3">
              <w:rPr>
                <w:color w:val="2B2B2B"/>
              </w:rPr>
              <w:t>West</w:t>
            </w:r>
          </w:p>
        </w:tc>
        <w:tc>
          <w:tcPr>
            <w:tcW w:w="3024"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14.10M</w:t>
            </w:r>
          </w:p>
        </w:tc>
        <w:tc>
          <w:tcPr>
            <w:tcW w:w="3024"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19.96%</w:t>
            </w:r>
          </w:p>
        </w:tc>
      </w:tr>
      <w:tr w:rsidR="00032A14" w:rsidRPr="000437F3">
        <w:tblPrEx>
          <w:tblCellMar>
            <w:top w:w="0" w:type="dxa"/>
            <w:bottom w:w="0" w:type="dxa"/>
          </w:tblCellMar>
        </w:tblPrEx>
        <w:tc>
          <w:tcPr>
            <w:tcW w:w="4032" w:type="dxa"/>
            <w:shd w:val="clear" w:color="auto" w:fill="FBE4E7"/>
            <w:tcMar>
              <w:top w:w="80" w:type="dxa"/>
              <w:left w:w="120" w:type="dxa"/>
              <w:bottom w:w="80" w:type="dxa"/>
              <w:right w:w="120" w:type="dxa"/>
            </w:tcMar>
          </w:tcPr>
          <w:p w:rsidR="00032A14" w:rsidRPr="000437F3" w:rsidRDefault="006C5B21">
            <w:r w:rsidRPr="000437F3">
              <w:rPr>
                <w:color w:val="2B2B2B"/>
              </w:rPr>
              <w:t>South</w:t>
            </w:r>
          </w:p>
        </w:tc>
        <w:tc>
          <w:tcPr>
            <w:tcW w:w="3024"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14.07M</w:t>
            </w:r>
          </w:p>
        </w:tc>
        <w:tc>
          <w:tcPr>
            <w:tcW w:w="3024"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19.92%</w:t>
            </w:r>
          </w:p>
        </w:tc>
      </w:tr>
      <w:tr w:rsidR="00032A14" w:rsidRPr="000437F3">
        <w:tblPrEx>
          <w:tblCellMar>
            <w:top w:w="0" w:type="dxa"/>
            <w:bottom w:w="0" w:type="dxa"/>
          </w:tblCellMar>
        </w:tblPrEx>
        <w:tc>
          <w:tcPr>
            <w:tcW w:w="4032" w:type="dxa"/>
            <w:shd w:val="clear" w:color="auto" w:fill="FFFFFF"/>
            <w:tcMar>
              <w:top w:w="80" w:type="dxa"/>
              <w:left w:w="120" w:type="dxa"/>
              <w:bottom w:w="80" w:type="dxa"/>
              <w:right w:w="120" w:type="dxa"/>
            </w:tcMar>
          </w:tcPr>
          <w:p w:rsidR="00032A14" w:rsidRPr="000437F3" w:rsidRDefault="006C5B21">
            <w:r w:rsidRPr="000437F3">
              <w:rPr>
                <w:color w:val="2B2B2B"/>
              </w:rPr>
              <w:t>Central</w:t>
            </w:r>
          </w:p>
        </w:tc>
        <w:tc>
          <w:tcPr>
            <w:tcW w:w="3024"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14.02M</w:t>
            </w:r>
          </w:p>
        </w:tc>
        <w:tc>
          <w:tcPr>
            <w:tcW w:w="3024"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19.85%</w:t>
            </w:r>
          </w:p>
        </w:tc>
      </w:tr>
    </w:tbl>
    <w:p w:rsidR="00032A14" w:rsidRPr="000437F3" w:rsidRDefault="00032A14">
      <w:pPr>
        <w:spacing w:before="200"/>
      </w:pPr>
    </w:p>
    <w:p w:rsidR="00032A14" w:rsidRPr="000437F3" w:rsidRDefault="006C5B21">
      <w:pPr>
        <w:spacing w:after="160" w:line="300" w:lineRule="auto"/>
      </w:pPr>
      <w:r w:rsidRPr="000437F3">
        <w:rPr>
          <w:color w:val="2B2B2B"/>
          <w:sz w:val="22"/>
          <w:szCs w:val="22"/>
        </w:rPr>
        <w:t xml:space="preserve">Sales are distributed almost evenly across all five regions, each contributing close to 20% of total revenue. North leads marginally at 14.29M (20.23%), followed by East (14.16M, 20.04%), West (14.10M, 19.96%), South (14.07M, 19.92%), and Central (14.02M, </w:t>
      </w:r>
      <w:r w:rsidRPr="000437F3">
        <w:rPr>
          <w:color w:val="2B2B2B"/>
          <w:sz w:val="22"/>
          <w:szCs w:val="22"/>
        </w:rPr>
        <w:t>19.85%).</w:t>
      </w:r>
    </w:p>
    <w:p w:rsidR="000437F3" w:rsidRPr="000437F3" w:rsidRDefault="006C5B21" w:rsidP="000437F3">
      <w:pPr>
        <w:spacing w:after="160" w:line="300" w:lineRule="auto"/>
        <w:rPr>
          <w:color w:val="2B2B2B"/>
          <w:sz w:val="22"/>
          <w:szCs w:val="22"/>
        </w:rPr>
      </w:pPr>
      <w:r w:rsidRPr="000437F3">
        <w:rPr>
          <w:color w:val="2B2B2B"/>
          <w:sz w:val="22"/>
          <w:szCs w:val="22"/>
        </w:rPr>
        <w:t xml:space="preserve">This near-uniform distribution indicates a well-balanced geographic footprint with no single region dominating or lagging significantly behind the others. Because performance is so evenly spread, regional expansion decisions should be guided less </w:t>
      </w:r>
      <w:r w:rsidRPr="000437F3">
        <w:rPr>
          <w:color w:val="2B2B2B"/>
          <w:sz w:val="22"/>
          <w:szCs w:val="22"/>
        </w:rPr>
        <w:t>by underperformance and more by identifying regions with the greatest untapped growth potential or lowest market penetration relative to population or demand.</w:t>
      </w:r>
    </w:p>
    <w:p w:rsidR="000437F3" w:rsidRPr="000437F3" w:rsidRDefault="000437F3" w:rsidP="000437F3">
      <w:pPr>
        <w:spacing w:after="160" w:line="300" w:lineRule="auto"/>
        <w:rPr>
          <w:color w:val="2B2B2B"/>
          <w:sz w:val="22"/>
          <w:szCs w:val="22"/>
        </w:rPr>
      </w:pPr>
    </w:p>
    <w:p w:rsidR="00032A14" w:rsidRPr="000437F3" w:rsidRDefault="00070D75" w:rsidP="000437F3">
      <w:pPr>
        <w:spacing w:after="160" w:line="300" w:lineRule="auto"/>
      </w:pPr>
      <w:r w:rsidRPr="000437F3">
        <w:rPr>
          <w:b/>
          <w:bCs/>
          <w:color w:val="7A1F2B"/>
          <w:sz w:val="30"/>
          <w:szCs w:val="30"/>
        </w:rPr>
        <w:t>7. EMPLOYEE PERFORMANCE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8"/>
        <w:gridCol w:w="4032"/>
      </w:tblGrid>
      <w:tr w:rsidR="00032A14" w:rsidRPr="000437F3">
        <w:tblPrEx>
          <w:tblCellMar>
            <w:top w:w="0" w:type="dxa"/>
            <w:bottom w:w="0" w:type="dxa"/>
          </w:tblCellMar>
        </w:tblPrEx>
        <w:trPr>
          <w:tblHeader/>
        </w:trPr>
        <w:tc>
          <w:tcPr>
            <w:tcW w:w="6048" w:type="dxa"/>
            <w:shd w:val="clear" w:color="auto" w:fill="7A1F2B"/>
            <w:tcMar>
              <w:top w:w="100" w:type="dxa"/>
              <w:left w:w="120" w:type="dxa"/>
              <w:bottom w:w="100" w:type="dxa"/>
              <w:right w:w="120" w:type="dxa"/>
            </w:tcMar>
          </w:tcPr>
          <w:p w:rsidR="00032A14" w:rsidRPr="000437F3" w:rsidRDefault="006C5B21">
            <w:r w:rsidRPr="000437F3">
              <w:rPr>
                <w:b/>
                <w:bCs/>
                <w:color w:val="FFFFFF"/>
              </w:rPr>
              <w:t>Employee</w:t>
            </w:r>
          </w:p>
        </w:tc>
        <w:tc>
          <w:tcPr>
            <w:tcW w:w="4032" w:type="dxa"/>
            <w:shd w:val="clear" w:color="auto" w:fill="7A1F2B"/>
            <w:tcMar>
              <w:top w:w="100" w:type="dxa"/>
              <w:left w:w="120" w:type="dxa"/>
              <w:bottom w:w="100" w:type="dxa"/>
              <w:right w:w="120" w:type="dxa"/>
            </w:tcMar>
          </w:tcPr>
          <w:p w:rsidR="00032A14" w:rsidRPr="000437F3" w:rsidRDefault="006C5B21">
            <w:r w:rsidRPr="000437F3">
              <w:rPr>
                <w:b/>
                <w:bCs/>
                <w:color w:val="FFFFFF"/>
              </w:rPr>
              <w:t>Total Profit</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Khaled Hassan</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1.0M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Omar El-Sayed</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1.0M</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Hassan El-Sayed</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1.0M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Ahmed Ibrahim</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1.0M</w:t>
            </w:r>
          </w:p>
        </w:tc>
      </w:tr>
      <w:tr w:rsidR="00032A14" w:rsidRPr="000437F3">
        <w:tblPrEx>
          <w:tblCellMar>
            <w:top w:w="0" w:type="dxa"/>
            <w:bottom w:w="0" w:type="dxa"/>
          </w:tblCellMar>
        </w:tblPrEx>
        <w:tc>
          <w:tcPr>
            <w:tcW w:w="6048" w:type="dxa"/>
            <w:shd w:val="clear" w:color="auto" w:fill="FFFFFF"/>
            <w:tcMar>
              <w:top w:w="80" w:type="dxa"/>
              <w:left w:w="120" w:type="dxa"/>
              <w:bottom w:w="80" w:type="dxa"/>
              <w:right w:w="120" w:type="dxa"/>
            </w:tcMar>
          </w:tcPr>
          <w:p w:rsidR="00032A14" w:rsidRPr="000437F3" w:rsidRDefault="006C5B21">
            <w:r w:rsidRPr="000437F3">
              <w:rPr>
                <w:color w:val="2B2B2B"/>
              </w:rPr>
              <w:t>John Smith</w:t>
            </w:r>
          </w:p>
        </w:tc>
        <w:tc>
          <w:tcPr>
            <w:tcW w:w="4032" w:type="dxa"/>
            <w:shd w:val="clear" w:color="auto" w:fill="FFFFFF"/>
            <w:tcMar>
              <w:top w:w="80" w:type="dxa"/>
              <w:left w:w="120" w:type="dxa"/>
              <w:bottom w:w="80" w:type="dxa"/>
              <w:right w:w="120" w:type="dxa"/>
            </w:tcMar>
          </w:tcPr>
          <w:p w:rsidR="00032A14" w:rsidRPr="000437F3" w:rsidRDefault="006C5B21">
            <w:pPr>
              <w:jc w:val="right"/>
            </w:pPr>
            <w:r w:rsidRPr="000437F3">
              <w:rPr>
                <w:color w:val="2B2B2B"/>
              </w:rPr>
              <w:t>1.0M</w:t>
            </w:r>
          </w:p>
        </w:tc>
      </w:tr>
      <w:tr w:rsidR="00032A14" w:rsidRPr="000437F3">
        <w:tblPrEx>
          <w:tblCellMar>
            <w:top w:w="0" w:type="dxa"/>
            <w:bottom w:w="0" w:type="dxa"/>
          </w:tblCellMar>
        </w:tblPrEx>
        <w:tc>
          <w:tcPr>
            <w:tcW w:w="6048" w:type="dxa"/>
            <w:shd w:val="clear" w:color="auto" w:fill="FBE4E7"/>
            <w:tcMar>
              <w:top w:w="80" w:type="dxa"/>
              <w:left w:w="120" w:type="dxa"/>
              <w:bottom w:w="80" w:type="dxa"/>
              <w:right w:w="120" w:type="dxa"/>
            </w:tcMar>
          </w:tcPr>
          <w:p w:rsidR="00032A14" w:rsidRPr="000437F3" w:rsidRDefault="006C5B21">
            <w:r w:rsidRPr="000437F3">
              <w:rPr>
                <w:color w:val="2B2B2B"/>
              </w:rPr>
              <w:t>Nora Garcia</w:t>
            </w:r>
          </w:p>
        </w:tc>
        <w:tc>
          <w:tcPr>
            <w:tcW w:w="4032" w:type="dxa"/>
            <w:shd w:val="clear" w:color="auto" w:fill="FBE4E7"/>
            <w:tcMar>
              <w:top w:w="80" w:type="dxa"/>
              <w:left w:w="120" w:type="dxa"/>
              <w:bottom w:w="80" w:type="dxa"/>
              <w:right w:w="120" w:type="dxa"/>
            </w:tcMar>
          </w:tcPr>
          <w:p w:rsidR="00032A14" w:rsidRPr="000437F3" w:rsidRDefault="006C5B21">
            <w:pPr>
              <w:jc w:val="right"/>
            </w:pPr>
            <w:r w:rsidRPr="000437F3">
              <w:rPr>
                <w:color w:val="2B2B2B"/>
              </w:rPr>
              <w:t>0.5M</w:t>
            </w:r>
          </w:p>
        </w:tc>
      </w:tr>
    </w:tbl>
    <w:p w:rsidR="00032A14" w:rsidRPr="000437F3" w:rsidRDefault="00032A14">
      <w:pPr>
        <w:spacing w:before="200"/>
      </w:pPr>
    </w:p>
    <w:p w:rsidR="00032A14" w:rsidRPr="000437F3" w:rsidRDefault="00C2697E">
      <w:pPr>
        <w:spacing w:after="160" w:line="300" w:lineRule="auto"/>
      </w:pPr>
      <w:r w:rsidRPr="000437F3">
        <w:rPr>
          <w:color w:val="2B2B2B"/>
          <w:sz w:val="22"/>
          <w:szCs w:val="22"/>
        </w:rPr>
        <w:t xml:space="preserve">Five of the six employees </w:t>
      </w:r>
      <w:r w:rsidR="006C5B21" w:rsidRPr="000437F3">
        <w:rPr>
          <w:color w:val="2B2B2B"/>
          <w:sz w:val="22"/>
          <w:szCs w:val="22"/>
        </w:rPr>
        <w:t xml:space="preserve">Khaled Hassan, Omar El-Sayed, Hassan El-Sayed, </w:t>
      </w:r>
      <w:r w:rsidRPr="000437F3">
        <w:rPr>
          <w:color w:val="2B2B2B"/>
          <w:sz w:val="22"/>
          <w:szCs w:val="22"/>
        </w:rPr>
        <w:t xml:space="preserve">Ahmed Ibrahim, and John Smith </w:t>
      </w:r>
      <w:r w:rsidR="006C5B21" w:rsidRPr="000437F3">
        <w:rPr>
          <w:color w:val="2B2B2B"/>
          <w:sz w:val="22"/>
          <w:szCs w:val="22"/>
        </w:rPr>
        <w:t>each generated approximately 1.0M in total profit, showing a consistent and strong level of performance across most of the team. Nora Garcia, however</w:t>
      </w:r>
      <w:r w:rsidR="006C5B21" w:rsidRPr="000437F3">
        <w:rPr>
          <w:color w:val="2B2B2B"/>
          <w:sz w:val="22"/>
          <w:szCs w:val="22"/>
        </w:rPr>
        <w:t>, generated only 0.5M, roughly half the contribution of the other employees.</w:t>
      </w:r>
    </w:p>
    <w:p w:rsidR="000437F3" w:rsidRPr="000437F3" w:rsidRDefault="006C5B21" w:rsidP="000437F3">
      <w:pPr>
        <w:spacing w:after="160" w:line="300" w:lineRule="auto"/>
        <w:rPr>
          <w:color w:val="2B2B2B"/>
          <w:sz w:val="22"/>
          <w:szCs w:val="22"/>
        </w:rPr>
      </w:pPr>
      <w:r w:rsidRPr="000437F3">
        <w:rPr>
          <w:color w:val="2B2B2B"/>
          <w:sz w:val="22"/>
          <w:szCs w:val="22"/>
        </w:rPr>
        <w:t>This gap identifies Nora Garcia as a clear outlier who may benefit from additional coaching, a review of assigned accounts or territories, or further investigation into whether th</w:t>
      </w:r>
      <w:r w:rsidRPr="000437F3">
        <w:rPr>
          <w:color w:val="2B2B2B"/>
          <w:sz w:val="22"/>
          <w:szCs w:val="22"/>
        </w:rPr>
        <w:t>e shortfall stems from tenure, workload, or external factors. The consistency among the remaining five employees suggests that current sales practices and training are effective and could be used as the basis for onboarding or mentoring support.</w:t>
      </w:r>
    </w:p>
    <w:p w:rsidR="000437F3" w:rsidRPr="000437F3" w:rsidRDefault="000437F3" w:rsidP="000437F3">
      <w:pPr>
        <w:spacing w:after="160" w:line="300" w:lineRule="auto"/>
        <w:rPr>
          <w:color w:val="2B2B2B"/>
          <w:sz w:val="22"/>
          <w:szCs w:val="22"/>
        </w:rPr>
      </w:pPr>
    </w:p>
    <w:p w:rsidR="00032A14" w:rsidRPr="000437F3" w:rsidRDefault="00070D75" w:rsidP="000437F3">
      <w:pPr>
        <w:spacing w:after="160" w:line="300" w:lineRule="auto"/>
      </w:pPr>
      <w:r w:rsidRPr="000437F3">
        <w:rPr>
          <w:b/>
          <w:bCs/>
          <w:color w:val="7A1F2B"/>
          <w:sz w:val="30"/>
          <w:szCs w:val="30"/>
        </w:rPr>
        <w:t>8. BUSINESS RECOMMENDATIONS</w:t>
      </w:r>
    </w:p>
    <w:p w:rsidR="00032A14" w:rsidRPr="000437F3" w:rsidRDefault="006C5B21">
      <w:pPr>
        <w:spacing w:before="240" w:after="120"/>
      </w:pPr>
      <w:r w:rsidRPr="000437F3">
        <w:rPr>
          <w:b/>
          <w:bCs/>
          <w:color w:val="C0455B"/>
          <w:sz w:val="24"/>
          <w:szCs w:val="24"/>
        </w:rPr>
        <w:t>Inventory Planning</w:t>
      </w:r>
    </w:p>
    <w:p w:rsidR="00032A14" w:rsidRPr="000437F3" w:rsidRDefault="006C5B21">
      <w:pPr>
        <w:pStyle w:val="ListParagraph"/>
        <w:numPr>
          <w:ilvl w:val="0"/>
          <w:numId w:val="2"/>
        </w:numPr>
        <w:spacing w:after="80" w:line="280" w:lineRule="auto"/>
      </w:pPr>
      <w:r w:rsidRPr="000437F3">
        <w:rPr>
          <w:color w:val="2B2B2B"/>
          <w:sz w:val="22"/>
          <w:szCs w:val="22"/>
        </w:rPr>
        <w:t xml:space="preserve">Increase stock levels for Clothing, Accessories, and Kitchen ahead of peak months, particularly December, to avoid </w:t>
      </w:r>
      <w:proofErr w:type="spellStart"/>
      <w:r w:rsidRPr="000437F3">
        <w:rPr>
          <w:color w:val="2B2B2B"/>
          <w:sz w:val="22"/>
          <w:szCs w:val="22"/>
        </w:rPr>
        <w:t>stockouts</w:t>
      </w:r>
      <w:proofErr w:type="spellEnd"/>
      <w:r w:rsidRPr="000437F3">
        <w:rPr>
          <w:color w:val="2B2B2B"/>
          <w:sz w:val="22"/>
          <w:szCs w:val="22"/>
        </w:rPr>
        <w:t xml:space="preserve"> during high-demand periods.</w:t>
      </w:r>
    </w:p>
    <w:p w:rsidR="00032A14" w:rsidRPr="000437F3" w:rsidRDefault="006C5B21">
      <w:pPr>
        <w:pStyle w:val="ListParagraph"/>
        <w:numPr>
          <w:ilvl w:val="0"/>
          <w:numId w:val="2"/>
        </w:numPr>
        <w:spacing w:after="80" w:line="280" w:lineRule="auto"/>
      </w:pPr>
      <w:r w:rsidRPr="000437F3">
        <w:rPr>
          <w:color w:val="2B2B2B"/>
          <w:sz w:val="22"/>
          <w:szCs w:val="22"/>
        </w:rPr>
        <w:t>Reassess inventory commitments for Furniture and Outdoors, as thei</w:t>
      </w:r>
      <w:r w:rsidRPr="000437F3">
        <w:rPr>
          <w:color w:val="2B2B2B"/>
          <w:sz w:val="22"/>
          <w:szCs w:val="22"/>
        </w:rPr>
        <w:t>r lower sales volume may be tying up capital that could be redirected to stronger categories.</w:t>
      </w:r>
    </w:p>
    <w:p w:rsidR="00032A14" w:rsidRPr="000437F3" w:rsidRDefault="006C5B21">
      <w:pPr>
        <w:spacing w:before="240" w:after="120"/>
      </w:pPr>
      <w:r w:rsidRPr="000437F3">
        <w:rPr>
          <w:b/>
          <w:bCs/>
          <w:color w:val="C0455B"/>
          <w:sz w:val="24"/>
          <w:szCs w:val="24"/>
        </w:rPr>
        <w:t>Marketing Strategy</w:t>
      </w:r>
    </w:p>
    <w:p w:rsidR="00032A14" w:rsidRPr="000437F3" w:rsidRDefault="006C5B21">
      <w:pPr>
        <w:pStyle w:val="ListParagraph"/>
        <w:numPr>
          <w:ilvl w:val="0"/>
          <w:numId w:val="2"/>
        </w:numPr>
        <w:spacing w:after="80" w:line="280" w:lineRule="auto"/>
      </w:pPr>
      <w:r w:rsidRPr="000437F3">
        <w:rPr>
          <w:color w:val="2B2B2B"/>
          <w:sz w:val="22"/>
          <w:szCs w:val="22"/>
        </w:rPr>
        <w:t>Launch targeted promotional campaigns during the June sales trough to smooth out the seasonal dip observed in the monthly trend.</w:t>
      </w:r>
    </w:p>
    <w:p w:rsidR="00032A14" w:rsidRPr="000437F3" w:rsidRDefault="006C5B21">
      <w:pPr>
        <w:pStyle w:val="ListParagraph"/>
        <w:numPr>
          <w:ilvl w:val="0"/>
          <w:numId w:val="2"/>
        </w:numPr>
        <w:spacing w:after="80" w:line="280" w:lineRule="auto"/>
      </w:pPr>
      <w:r w:rsidRPr="000437F3">
        <w:rPr>
          <w:color w:val="2B2B2B"/>
          <w:sz w:val="22"/>
          <w:szCs w:val="22"/>
        </w:rPr>
        <w:t>Build on the December peak with early holiday marketing pushes and bundle offers to further capitalize on the season's natural demand.</w:t>
      </w:r>
    </w:p>
    <w:p w:rsidR="00032A14" w:rsidRPr="000437F3" w:rsidRDefault="006C5B21">
      <w:pPr>
        <w:spacing w:before="240" w:after="120"/>
      </w:pPr>
      <w:r w:rsidRPr="000437F3">
        <w:rPr>
          <w:b/>
          <w:bCs/>
          <w:color w:val="C0455B"/>
          <w:sz w:val="24"/>
          <w:szCs w:val="24"/>
        </w:rPr>
        <w:t>Regional Expansion</w:t>
      </w:r>
    </w:p>
    <w:p w:rsidR="00032A14" w:rsidRPr="000437F3" w:rsidRDefault="006C5B21">
      <w:pPr>
        <w:pStyle w:val="ListParagraph"/>
        <w:numPr>
          <w:ilvl w:val="0"/>
          <w:numId w:val="2"/>
        </w:numPr>
        <w:spacing w:after="80" w:line="280" w:lineRule="auto"/>
      </w:pPr>
      <w:r w:rsidRPr="000437F3">
        <w:rPr>
          <w:color w:val="2B2B2B"/>
          <w:sz w:val="22"/>
          <w:szCs w:val="22"/>
        </w:rPr>
        <w:t xml:space="preserve">Since sales are evenly distributed across all five regions, prioritize expansion based on market size </w:t>
      </w:r>
      <w:r w:rsidRPr="000437F3">
        <w:rPr>
          <w:color w:val="2B2B2B"/>
          <w:sz w:val="22"/>
          <w:szCs w:val="22"/>
        </w:rPr>
        <w:t>and untapped demand rather than correcting regional imbalance.</w:t>
      </w:r>
    </w:p>
    <w:p w:rsidR="00032A14" w:rsidRPr="000437F3" w:rsidRDefault="006C5B21">
      <w:pPr>
        <w:pStyle w:val="ListParagraph"/>
        <w:numPr>
          <w:ilvl w:val="0"/>
          <w:numId w:val="2"/>
        </w:numPr>
        <w:spacing w:after="80" w:line="280" w:lineRule="auto"/>
      </w:pPr>
      <w:r w:rsidRPr="000437F3">
        <w:rPr>
          <w:color w:val="2B2B2B"/>
          <w:sz w:val="22"/>
          <w:szCs w:val="22"/>
        </w:rPr>
        <w:t>Pilot new customer-acquisition initiatives in one region at a time to measure incremental impact before scaling company-wide.</w:t>
      </w:r>
    </w:p>
    <w:p w:rsidR="00032A14" w:rsidRPr="000437F3" w:rsidRDefault="006C5B21">
      <w:pPr>
        <w:spacing w:before="240" w:after="120"/>
      </w:pPr>
      <w:r w:rsidRPr="000437F3">
        <w:rPr>
          <w:b/>
          <w:bCs/>
          <w:color w:val="C0455B"/>
          <w:sz w:val="24"/>
          <w:szCs w:val="24"/>
        </w:rPr>
        <w:t>Employee Performance</w:t>
      </w:r>
    </w:p>
    <w:p w:rsidR="00032A14" w:rsidRPr="000437F3" w:rsidRDefault="006C5B21">
      <w:pPr>
        <w:pStyle w:val="ListParagraph"/>
        <w:numPr>
          <w:ilvl w:val="0"/>
          <w:numId w:val="2"/>
        </w:numPr>
        <w:spacing w:after="80" w:line="280" w:lineRule="auto"/>
      </w:pPr>
      <w:r w:rsidRPr="000437F3">
        <w:rPr>
          <w:color w:val="2B2B2B"/>
          <w:sz w:val="22"/>
          <w:szCs w:val="22"/>
        </w:rPr>
        <w:t>Provide targeted coaching or mentorship for Nora Garcia to help close the profit gap relative to the rest of the team.</w:t>
      </w:r>
    </w:p>
    <w:p w:rsidR="00032A14" w:rsidRPr="000437F3" w:rsidRDefault="006C5B21">
      <w:pPr>
        <w:pStyle w:val="ListParagraph"/>
        <w:numPr>
          <w:ilvl w:val="0"/>
          <w:numId w:val="2"/>
        </w:numPr>
        <w:spacing w:after="80" w:line="280" w:lineRule="auto"/>
      </w:pPr>
      <w:r w:rsidRPr="000437F3">
        <w:rPr>
          <w:color w:val="2B2B2B"/>
          <w:sz w:val="22"/>
          <w:szCs w:val="22"/>
        </w:rPr>
        <w:t>Document and share the practices of top-performing employees (Khaled Hassan, Omar El-Sayed, Hassan El-Sayed, Ahmed Ibrahim, John Smith) a</w:t>
      </w:r>
      <w:r w:rsidRPr="000437F3">
        <w:rPr>
          <w:color w:val="2B2B2B"/>
          <w:sz w:val="22"/>
          <w:szCs w:val="22"/>
        </w:rPr>
        <w:t>s a benchmark for onboarding and training.</w:t>
      </w:r>
    </w:p>
    <w:p w:rsidR="00032A14" w:rsidRPr="000437F3" w:rsidRDefault="006C5B21">
      <w:pPr>
        <w:spacing w:before="240" w:after="120"/>
      </w:pPr>
      <w:r w:rsidRPr="000437F3">
        <w:rPr>
          <w:b/>
          <w:bCs/>
          <w:color w:val="C0455B"/>
          <w:sz w:val="24"/>
          <w:szCs w:val="24"/>
        </w:rPr>
        <w:t>Product Portfolio</w:t>
      </w:r>
    </w:p>
    <w:p w:rsidR="00032A14" w:rsidRPr="000437F3" w:rsidRDefault="006C5B21">
      <w:pPr>
        <w:pStyle w:val="ListParagraph"/>
        <w:numPr>
          <w:ilvl w:val="0"/>
          <w:numId w:val="2"/>
        </w:numPr>
        <w:spacing w:after="80" w:line="280" w:lineRule="auto"/>
      </w:pPr>
      <w:r w:rsidRPr="000437F3">
        <w:rPr>
          <w:color w:val="2B2B2B"/>
          <w:sz w:val="22"/>
          <w:szCs w:val="22"/>
        </w:rPr>
        <w:t>Expand the assortment within top-performing categories (Clothing, Accessories, Kitchen) where demand is proven.</w:t>
      </w:r>
    </w:p>
    <w:p w:rsidR="00032A14" w:rsidRPr="000437F3" w:rsidRDefault="006C5B21">
      <w:pPr>
        <w:pStyle w:val="ListParagraph"/>
        <w:numPr>
          <w:ilvl w:val="0"/>
          <w:numId w:val="2"/>
        </w:numPr>
        <w:spacing w:after="80" w:line="280" w:lineRule="auto"/>
      </w:pPr>
      <w:r w:rsidRPr="000437F3">
        <w:rPr>
          <w:color w:val="2B2B2B"/>
          <w:sz w:val="22"/>
          <w:szCs w:val="22"/>
        </w:rPr>
        <w:t>Evaluate whether underperforming Furniture and Outdoors products should be repositi</w:t>
      </w:r>
      <w:r w:rsidRPr="000437F3">
        <w:rPr>
          <w:color w:val="2B2B2B"/>
          <w:sz w:val="22"/>
          <w:szCs w:val="22"/>
        </w:rPr>
        <w:t>oned, discounted, or phased out in favor of higher-margin items.</w:t>
      </w:r>
    </w:p>
    <w:p w:rsidR="00032A14" w:rsidRPr="000437F3" w:rsidRDefault="006C5B21">
      <w:pPr>
        <w:spacing w:before="240" w:after="120"/>
      </w:pPr>
      <w:r w:rsidRPr="000437F3">
        <w:rPr>
          <w:b/>
          <w:bCs/>
          <w:color w:val="C0455B"/>
          <w:sz w:val="24"/>
          <w:szCs w:val="24"/>
        </w:rPr>
        <w:t>Customer Targeting</w:t>
      </w:r>
    </w:p>
    <w:p w:rsidR="00032A14" w:rsidRPr="000437F3" w:rsidRDefault="006C5B21">
      <w:pPr>
        <w:pStyle w:val="ListParagraph"/>
        <w:numPr>
          <w:ilvl w:val="0"/>
          <w:numId w:val="2"/>
        </w:numPr>
        <w:spacing w:after="80" w:line="280" w:lineRule="auto"/>
      </w:pPr>
      <w:r w:rsidRPr="000437F3">
        <w:rPr>
          <w:color w:val="2B2B2B"/>
          <w:sz w:val="22"/>
          <w:szCs w:val="22"/>
        </w:rPr>
        <w:t>Use the relatively low Average Sales value per order (706.36) as a starting point to design upsell and cross-sell offers that increase basket size.</w:t>
      </w:r>
    </w:p>
    <w:p w:rsidR="00032A14" w:rsidRPr="000437F3" w:rsidRDefault="006C5B21">
      <w:pPr>
        <w:pStyle w:val="ListParagraph"/>
        <w:numPr>
          <w:ilvl w:val="0"/>
          <w:numId w:val="2"/>
        </w:numPr>
        <w:spacing w:after="80" w:line="280" w:lineRule="auto"/>
      </w:pPr>
      <w:r w:rsidRPr="000437F3">
        <w:rPr>
          <w:color w:val="2B2B2B"/>
          <w:sz w:val="22"/>
          <w:szCs w:val="22"/>
        </w:rPr>
        <w:t>Segment customers by pur</w:t>
      </w:r>
      <w:r w:rsidRPr="000437F3">
        <w:rPr>
          <w:color w:val="2B2B2B"/>
          <w:sz w:val="22"/>
          <w:szCs w:val="22"/>
        </w:rPr>
        <w:t>chasing category to enable more personalized marketing, particularly for high-performing categories with room to grow.</w:t>
      </w:r>
    </w:p>
    <w:sectPr w:rsidR="00032A14" w:rsidRPr="000437F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B21" w:rsidRDefault="006C5B21">
      <w:r>
        <w:separator/>
      </w:r>
    </w:p>
  </w:endnote>
  <w:endnote w:type="continuationSeparator" w:id="0">
    <w:p w:rsidR="006C5B21" w:rsidRDefault="006C5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2A14" w:rsidRDefault="006C5B21">
    <w:pPr>
      <w:jc w:val="center"/>
    </w:pPr>
    <w:r>
      <w:rPr>
        <w:color w:val="6E6E6E"/>
        <w:sz w:val="16"/>
        <w:szCs w:val="16"/>
      </w:rPr>
      <w:t xml:space="preserve">Page </w:t>
    </w:r>
    <w:r>
      <w:rPr>
        <w:color w:val="6E6E6E"/>
        <w:sz w:val="16"/>
        <w:szCs w:val="16"/>
      </w:rPr>
      <w:fldChar w:fldCharType="begin"/>
    </w:r>
    <w:r>
      <w:rPr>
        <w:color w:val="6E6E6E"/>
        <w:sz w:val="16"/>
        <w:szCs w:val="16"/>
      </w:rPr>
      <w:instrText>PAGE</w:instrText>
    </w:r>
    <w:r w:rsidR="00070D75">
      <w:rPr>
        <w:color w:val="6E6E6E"/>
        <w:sz w:val="16"/>
        <w:szCs w:val="16"/>
      </w:rPr>
      <w:fldChar w:fldCharType="separate"/>
    </w:r>
    <w:r w:rsidR="007B5BAB">
      <w:rPr>
        <w:noProof/>
        <w:color w:val="6E6E6E"/>
        <w:sz w:val="16"/>
        <w:szCs w:val="16"/>
      </w:rPr>
      <w:t>6</w:t>
    </w:r>
    <w:r>
      <w:rPr>
        <w:color w:val="6E6E6E"/>
        <w:sz w:val="16"/>
        <w:szCs w:val="16"/>
      </w:rPr>
      <w:fldChar w:fldCharType="end"/>
    </w:r>
    <w:r>
      <w:rPr>
        <w:color w:val="6E6E6E"/>
        <w:sz w:val="16"/>
        <w:szCs w:val="16"/>
      </w:rPr>
      <w:t xml:space="preserve"> of </w:t>
    </w:r>
    <w:r>
      <w:rPr>
        <w:color w:val="6E6E6E"/>
        <w:sz w:val="16"/>
        <w:szCs w:val="16"/>
      </w:rPr>
      <w:fldChar w:fldCharType="begin"/>
    </w:r>
    <w:r>
      <w:rPr>
        <w:color w:val="6E6E6E"/>
        <w:sz w:val="16"/>
        <w:szCs w:val="16"/>
      </w:rPr>
      <w:instrText>NUMPAGES</w:instrText>
    </w:r>
    <w:r w:rsidR="00070D75">
      <w:rPr>
        <w:color w:val="6E6E6E"/>
        <w:sz w:val="16"/>
        <w:szCs w:val="16"/>
      </w:rPr>
      <w:fldChar w:fldCharType="separate"/>
    </w:r>
    <w:r w:rsidR="007B5BAB">
      <w:rPr>
        <w:noProof/>
        <w:color w:val="6E6E6E"/>
        <w:sz w:val="16"/>
        <w:szCs w:val="16"/>
      </w:rPr>
      <w:t>6</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B21" w:rsidRDefault="006C5B21">
      <w:r>
        <w:separator/>
      </w:r>
    </w:p>
  </w:footnote>
  <w:footnote w:type="continuationSeparator" w:id="0">
    <w:p w:rsidR="006C5B21" w:rsidRDefault="006C5B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2A14" w:rsidRDefault="006C5B21">
    <w:pPr>
      <w:jc w:val="right"/>
    </w:pPr>
    <w:r>
      <w:rPr>
        <w:i/>
        <w:iCs/>
        <w:color w:val="6E6E6E"/>
        <w:sz w:val="16"/>
        <w:szCs w:val="16"/>
      </w:rPr>
      <w:t>Business Insight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92835"/>
    <w:multiLevelType w:val="hybridMultilevel"/>
    <w:tmpl w:val="F8CE7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61D10"/>
    <w:multiLevelType w:val="hybridMultilevel"/>
    <w:tmpl w:val="5F825F1C"/>
    <w:lvl w:ilvl="0" w:tplc="247E5DC2">
      <w:start w:val="1"/>
      <w:numFmt w:val="bullet"/>
      <w:lvlText w:val="●"/>
      <w:lvlJc w:val="left"/>
      <w:pPr>
        <w:ind w:left="720" w:hanging="360"/>
      </w:pPr>
    </w:lvl>
    <w:lvl w:ilvl="1" w:tplc="75628E06">
      <w:start w:val="1"/>
      <w:numFmt w:val="bullet"/>
      <w:lvlText w:val="○"/>
      <w:lvlJc w:val="left"/>
      <w:pPr>
        <w:ind w:left="1440" w:hanging="360"/>
      </w:pPr>
    </w:lvl>
    <w:lvl w:ilvl="2" w:tplc="F6689E8E">
      <w:start w:val="1"/>
      <w:numFmt w:val="bullet"/>
      <w:lvlText w:val="■"/>
      <w:lvlJc w:val="left"/>
      <w:pPr>
        <w:ind w:left="2160" w:hanging="360"/>
      </w:pPr>
    </w:lvl>
    <w:lvl w:ilvl="3" w:tplc="21C25EBE">
      <w:start w:val="1"/>
      <w:numFmt w:val="bullet"/>
      <w:lvlText w:val="●"/>
      <w:lvlJc w:val="left"/>
      <w:pPr>
        <w:ind w:left="2880" w:hanging="360"/>
      </w:pPr>
    </w:lvl>
    <w:lvl w:ilvl="4" w:tplc="22E8A57A">
      <w:start w:val="1"/>
      <w:numFmt w:val="bullet"/>
      <w:lvlText w:val="○"/>
      <w:lvlJc w:val="left"/>
      <w:pPr>
        <w:ind w:left="3600" w:hanging="360"/>
      </w:pPr>
    </w:lvl>
    <w:lvl w:ilvl="5" w:tplc="E4BA5E18">
      <w:start w:val="1"/>
      <w:numFmt w:val="bullet"/>
      <w:lvlText w:val="■"/>
      <w:lvlJc w:val="left"/>
      <w:pPr>
        <w:ind w:left="4320" w:hanging="360"/>
      </w:pPr>
    </w:lvl>
    <w:lvl w:ilvl="6" w:tplc="288AA90C">
      <w:start w:val="1"/>
      <w:numFmt w:val="bullet"/>
      <w:lvlText w:val="●"/>
      <w:lvlJc w:val="left"/>
      <w:pPr>
        <w:ind w:left="5040" w:hanging="360"/>
      </w:pPr>
    </w:lvl>
    <w:lvl w:ilvl="7" w:tplc="C02015CA">
      <w:start w:val="1"/>
      <w:numFmt w:val="bullet"/>
      <w:lvlText w:val="●"/>
      <w:lvlJc w:val="left"/>
      <w:pPr>
        <w:ind w:left="5760" w:hanging="360"/>
      </w:pPr>
    </w:lvl>
    <w:lvl w:ilvl="8" w:tplc="281071FC">
      <w:start w:val="1"/>
      <w:numFmt w:val="bullet"/>
      <w:lvlText w:val="●"/>
      <w:lvlJc w:val="left"/>
      <w:pPr>
        <w:ind w:left="6480" w:hanging="360"/>
      </w:pPr>
    </w:lvl>
  </w:abstractNum>
  <w:abstractNum w:abstractNumId="2" w15:restartNumberingAfterBreak="0">
    <w:nsid w:val="3A3B3A0B"/>
    <w:multiLevelType w:val="hybridMultilevel"/>
    <w:tmpl w:val="E84A24F8"/>
    <w:lvl w:ilvl="0" w:tplc="C218B3A2">
      <w:start w:val="1"/>
      <w:numFmt w:val="bullet"/>
      <w:lvlText w:val="•"/>
      <w:lvlJc w:val="left"/>
      <w:pPr>
        <w:ind w:left="480" w:hanging="240"/>
      </w:pPr>
    </w:lvl>
    <w:lvl w:ilvl="1" w:tplc="C2248A9E">
      <w:numFmt w:val="decimal"/>
      <w:lvlText w:val=""/>
      <w:lvlJc w:val="left"/>
    </w:lvl>
    <w:lvl w:ilvl="2" w:tplc="6918471E">
      <w:numFmt w:val="decimal"/>
      <w:lvlText w:val=""/>
      <w:lvlJc w:val="left"/>
    </w:lvl>
    <w:lvl w:ilvl="3" w:tplc="B9964F7C">
      <w:numFmt w:val="decimal"/>
      <w:lvlText w:val=""/>
      <w:lvlJc w:val="left"/>
    </w:lvl>
    <w:lvl w:ilvl="4" w:tplc="B17C99FC">
      <w:numFmt w:val="decimal"/>
      <w:lvlText w:val=""/>
      <w:lvlJc w:val="left"/>
    </w:lvl>
    <w:lvl w:ilvl="5" w:tplc="C292F14E">
      <w:numFmt w:val="decimal"/>
      <w:lvlText w:val=""/>
      <w:lvlJc w:val="left"/>
    </w:lvl>
    <w:lvl w:ilvl="6" w:tplc="F88226C4">
      <w:numFmt w:val="decimal"/>
      <w:lvlText w:val=""/>
      <w:lvlJc w:val="left"/>
    </w:lvl>
    <w:lvl w:ilvl="7" w:tplc="93DCEAB2">
      <w:numFmt w:val="decimal"/>
      <w:lvlText w:val=""/>
      <w:lvlJc w:val="left"/>
    </w:lvl>
    <w:lvl w:ilvl="8" w:tplc="616615E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A14"/>
    <w:rsid w:val="00032A14"/>
    <w:rsid w:val="000437F3"/>
    <w:rsid w:val="00070D75"/>
    <w:rsid w:val="006C5B21"/>
    <w:rsid w:val="007B5BAB"/>
    <w:rsid w:val="00C26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A3248"/>
  <w15:docId w15:val="{3377B2F4-84BC-4A26-A60F-A71B8362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A22BE-52A6-4B06-8CAB-9E4038929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2026-09-11T08:03:00Z</dcterms:created>
  <dcterms:modified xsi:type="dcterms:W3CDTF">2026-09-11T08:44:00Z</dcterms:modified>
</cp:coreProperties>
</file>