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volta redatti i documenti relativi all’analisi dei requisiti e all’identificazione degli obiettivi di design passiamo alla realizzazione di un ulteriore documento, L’Object Design Document.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Tale documento integrerà tutte le informazioni già evidenziate nei precedenti documenti in modo chiaro e preciso, servirà come base per l’implementazione e conterrà: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specifiche legate alle interfacce per ogni sottosistema;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librerie per le classi;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design pattern al fine di risolvere problemi e proteggere le classi da futuri cambiamenti.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Object Design Trade-offs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questa sezione verranno definiti i trade-offs relativi al sistema “Youth Club”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Prestazioni vs. Costi,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considerando il budget a disposizione, è stato di utilizzare componenti open source, con l’obiettivo di minimizzare i costi in rapporto alla qualità delle funzione rilasciate;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Interfaccia vs Tempo di risposta,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 garantire tempi di risposta sufficientemente brevi è stato deciso di focalizzare l’attenzione sulla realizzazione di una parte di back-end il più lineare possibile in modo da ridurre i tempi di risposta del sistema;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Interfaccia vs. Usabilità,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grazie all’utilizzo delle componenti scelte si garantisce un design gradevole e facilmente comprensibile; e conseguentemente un’interfaccia facilmente usabile;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Costi vs. Mantenimento,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grazie all’utilizzo delle componenti e i linguaggi </w:t>
      </w:r>
      <w:r w:rsidDel="00000000" w:rsidR="00000000" w:rsidRPr="00000000">
        <w:rPr>
          <w:rtl w:val="0"/>
        </w:rPr>
        <w:t xml:space="preserve">di implementazione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scelti, il sistema risulterà essere facilmente mantenibile a costi ridotti.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Linee guida per l’implementazione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c4557"/>
          <w:sz w:val="43"/>
          <w:szCs w:val="43"/>
        </w:rPr>
      </w:pPr>
      <w:r w:rsidDel="00000000" w:rsidR="00000000" w:rsidRPr="00000000">
        <w:rPr>
          <w:rtl w:val="0"/>
        </w:rPr>
        <w:t xml:space="preserve">Le linee guide per lo sviluppo del progetto software sono dettate da “</w:t>
      </w:r>
      <w:r w:rsidDel="00000000" w:rsidR="00000000" w:rsidRPr="00000000">
        <w:rPr>
          <w:rFonts w:ascii="Arial" w:cs="Arial" w:eastAsia="Arial" w:hAnsi="Arial"/>
          <w:color w:val="2c4557"/>
          <w:sz w:val="28"/>
          <w:szCs w:val="28"/>
          <w:rtl w:val="0"/>
        </w:rPr>
        <w:t xml:space="preserve"> ” </w:t>
      </w:r>
      <w:r w:rsidDel="00000000" w:rsidR="00000000" w:rsidRPr="00000000">
        <w:rPr>
          <w:rtl w:val="0"/>
        </w:rPr>
        <w:t xml:space="preserve">documento web contenente regole ben precise sullo standard da seguire durante 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Linee guida: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 linee guida sono molto importanti in quanto vanno a stabilire i Naming Convention dei componenti utilizzati.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Nome variabili: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nomi delle variabili devono essere brevi e significativi. L’identificatore di una variabile è una sequenza di lettere e cifre il cui primo elemento deve essere una lettera. I nomi delle variabili dovranno iniziare con una lettere minuscola e qualora formati da più parole concatenati tutte le parole successive alla prima dovranno essere capitalizzate.(Ex. nomeVariabile)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 variabili locali saranno dichiarate all’interno dei metodi, quindi saranno create solo quando il metodo verrà invocato e cancellate alla terminazione del metodo.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void nomeMetodo(){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int nomeVariabile=valore;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….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 variabili devono essere inizializzate prima del loro utilizzo.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Nelle variabili costanti dove il valore assunto dalle variabili non può essere modificato è possibile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utilizzare “_”.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(Ex NOME_VARIABILE)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 variabili di istanza saranno dichiarate esternamente alla dichiarazione di metodi.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Class NomeClasse{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int nomeVariabile=valore;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void nomeMetodo(){..}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metodi: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metodi definiscono i </w:t>
      </w:r>
      <w:r w:rsidDel="00000000" w:rsidR="00000000" w:rsidRPr="00000000">
        <w:rPr>
          <w:rtl w:val="0"/>
        </w:rPr>
        <w:t xml:space="preserve">comportamenti </w:t>
      </w:r>
      <w:r w:rsidDel="00000000" w:rsidR="00000000" w:rsidRPr="00000000">
        <w:rPr>
          <w:rtl w:val="0"/>
        </w:rPr>
        <w:t xml:space="preserve">degli oggetti.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nome dei metodi inizieranno con la </w:t>
      </w:r>
      <w:r w:rsidDel="00000000" w:rsidR="00000000" w:rsidRPr="00000000">
        <w:rPr>
          <w:i w:val="1"/>
          <w:rtl w:val="0"/>
        </w:rPr>
        <w:t xml:space="preserve">lettera minuscola </w:t>
      </w:r>
      <w:r w:rsidDel="00000000" w:rsidR="00000000" w:rsidRPr="00000000">
        <w:rPr>
          <w:rtl w:val="0"/>
        </w:rPr>
        <w:t xml:space="preserve">e, qualora formati da più parole le successive dovranno essere capitalizzate secondo il CamelCase (“nomeMetodo()”).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Il nome di un metodo va a specificare l’azione che andrà ad eseguire, quindi sarà presente almeno un verbo all’interno di esso.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Ai metodi viene aggiunto un commento in JavaDoc, il quale verrà posizionato prima della dichiarazione del metodo e serve a descriverne lo scopo.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Nel commento sono anche presenti delle informazioni riguardanti i paramenti, il valore di ritorno e le possibili eccezioni che potrebbero essere lanciate.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82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Nome classi:</w:t>
      </w:r>
    </w:p>
    <w:p w:rsidR="00000000" w:rsidDel="00000000" w:rsidP="00000000" w:rsidRDefault="00000000" w:rsidRPr="00000000" w14:paraId="0000002E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 nomi delle classi dovranno iniziare con la lettera maiuscola, anche la prima lettera delle parole</w:t>
      </w:r>
    </w:p>
    <w:p w:rsidR="00000000" w:rsidDel="00000000" w:rsidP="00000000" w:rsidRDefault="00000000" w:rsidRPr="00000000" w14:paraId="0000002F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concatenate dovrà essere in maiuscolo.</w:t>
      </w:r>
    </w:p>
    <w:p w:rsidR="00000000" w:rsidDel="00000000" w:rsidP="00000000" w:rsidRDefault="00000000" w:rsidRPr="00000000" w14:paraId="00000030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(EX NomeClasse)</w:t>
      </w:r>
    </w:p>
    <w:p w:rsidR="00000000" w:rsidDel="00000000" w:rsidP="00000000" w:rsidRDefault="00000000" w:rsidRPr="00000000" w14:paraId="00000031">
      <w:pPr>
        <w:tabs>
          <w:tab w:val="left" w:pos="7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Il nome della classe deve essere intuitivo e comprensibile.</w:t>
      </w:r>
    </w:p>
    <w:p w:rsidR="00000000" w:rsidDel="00000000" w:rsidP="00000000" w:rsidRDefault="00000000" w:rsidRPr="00000000" w14:paraId="00000033">
      <w:pPr>
        <w:tabs>
          <w:tab w:val="left" w:pos="7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Ogni file sorgente(.class) ha al suo interno una sola classe l’introduzione alla classe che conterrà lo scopo di quest’ultima.</w:t>
      </w:r>
    </w:p>
    <w:p w:rsidR="00000000" w:rsidDel="00000000" w:rsidP="00000000" w:rsidRDefault="00000000" w:rsidRPr="00000000" w14:paraId="00000035">
      <w:pPr>
        <w:tabs>
          <w:tab w:val="left" w:pos="7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7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*scopo della classe</w:t>
      </w:r>
    </w:p>
    <w:p w:rsidR="00000000" w:rsidDel="00000000" w:rsidP="00000000" w:rsidRDefault="00000000" w:rsidRPr="00000000" w14:paraId="00000038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828"/>
        </w:tabs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classe ha una struttura da seguire: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ichiarazione classe pubblica</w:t>
      </w:r>
      <w:r w:rsidDel="00000000" w:rsidR="00000000" w:rsidRPr="00000000">
        <w:rPr>
          <w:rtl w:val="0"/>
        </w:rPr>
        <w:t xml:space="preserve">,d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ichiarazione delle costanti</w:t>
      </w:r>
      <w:r w:rsidDel="00000000" w:rsidR="00000000" w:rsidRPr="00000000">
        <w:rPr>
          <w:rtl w:val="0"/>
        </w:rPr>
        <w:t xml:space="preserve">,d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ichiarazione delle variabili di classe e d’istanza</w:t>
      </w:r>
      <w:r w:rsidDel="00000000" w:rsidR="00000000" w:rsidRPr="00000000">
        <w:rPr>
          <w:rtl w:val="0"/>
        </w:rPr>
        <w:t xml:space="preserve">,c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ostruttore </w:t>
      </w:r>
      <w:r w:rsidDel="00000000" w:rsidR="00000000" w:rsidRPr="00000000">
        <w:rPr>
          <w:rtl w:val="0"/>
        </w:rPr>
        <w:t xml:space="preserve">,m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etodi e i relativi commenti </w:t>
      </w:r>
    </w:p>
    <w:p w:rsidR="00000000" w:rsidDel="00000000" w:rsidP="00000000" w:rsidRDefault="00000000" w:rsidRPr="00000000" w14:paraId="0000003A">
      <w:pPr>
        <w:tabs>
          <w:tab w:val="left" w:pos="7828"/>
        </w:tabs>
        <w:rPr/>
      </w:pPr>
      <w:r w:rsidDel="00000000" w:rsidR="00000000" w:rsidRPr="00000000">
        <w:rPr/>
        <w:drawing>
          <wp:inline distB="114300" distT="114300" distL="114300" distR="114300">
            <wp:extent cx="5010031" cy="719169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031" cy="7191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28"/>
        </w:tabs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828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782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Nomi package:</w:t>
      </w:r>
    </w:p>
    <w:p w:rsidR="00000000" w:rsidDel="00000000" w:rsidP="00000000" w:rsidRDefault="00000000" w:rsidRPr="00000000" w14:paraId="0000003E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 nome dei pacchetti dovranno essere scritti in minuscolo concatenando un insieme di sostantivi separati dal punto.</w:t>
      </w:r>
    </w:p>
    <w:p w:rsidR="00000000" w:rsidDel="00000000" w:rsidP="00000000" w:rsidRDefault="00000000" w:rsidRPr="00000000" w14:paraId="0000003F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In generale, un nome comincia con il dominio di primo livello dell’organizzazione che lo produce, seguito dal dominio e da altri eventuali sottodomini,  elencati in ordine inverso.</w:t>
      </w:r>
    </w:p>
    <w:p w:rsidR="00000000" w:rsidDel="00000000" w:rsidP="00000000" w:rsidRDefault="00000000" w:rsidRPr="00000000" w14:paraId="00000040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L’organizzazione può infine scegliere un nome specifico per quel particolare package. </w:t>
      </w:r>
    </w:p>
    <w:p w:rsidR="00000000" w:rsidDel="00000000" w:rsidP="00000000" w:rsidRDefault="00000000" w:rsidRPr="00000000" w14:paraId="00000041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Non sono ammessi caratteri speciali.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Definizioni, acronomi e abbreviazioni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Acronomi: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RAD: Requirements Analysis Document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SDD: System Design Document</w:t>
        <w:br w:type="textWrapping"/>
        <w:t xml:space="preserve">ODD: Object Design Document</w:t>
        <w:br w:type="textWrapping"/>
        <w:t xml:space="preserve">DAO: Data Access Object 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Riferimeti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Documento YouthClub_RAD_V_2.0.pdf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Documento YouthClub_SDD_V_3.0.pdf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COTS</w:t>
      </w: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(Components Off The Shelf) </w:t>
      </w:r>
    </w:p>
    <w:p w:rsidR="00000000" w:rsidDel="00000000" w:rsidP="00000000" w:rsidRDefault="00000000" w:rsidRPr="00000000" w14:paraId="0000004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 questa sezione definiamo le Component Off The Shelf, ovvero le componenti hardware e software disponibili sul mercato che andremo ad utilizzare nel nostro progetto software: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bookmarkStart w:colFirst="0" w:colLast="0" w:name="_oox32vpqdys7" w:id="1"/>
      <w:bookmarkEnd w:id="1"/>
      <w:r w:rsidDel="00000000" w:rsidR="00000000" w:rsidRPr="00000000">
        <w:rPr>
          <w:rtl w:val="0"/>
        </w:rPr>
        <w:t xml:space="preserve">JDBC: connettore (driver) per database che consente l’accesso e la gestione della</w:t>
      </w:r>
    </w:p>
    <w:p w:rsidR="00000000" w:rsidDel="00000000" w:rsidP="00000000" w:rsidRDefault="00000000" w:rsidRPr="00000000" w14:paraId="0000004D">
      <w:pPr>
        <w:ind w:left="720" w:firstLine="0"/>
        <w:rPr/>
      </w:pPr>
      <w:bookmarkStart w:colFirst="0" w:colLast="0" w:name="_1ojilmjqussv" w:id="2"/>
      <w:bookmarkEnd w:id="2"/>
      <w:r w:rsidDel="00000000" w:rsidR="00000000" w:rsidRPr="00000000">
        <w:rPr>
          <w:rtl w:val="0"/>
        </w:rPr>
        <w:t xml:space="preserve">persistenza dei dati sulle basi di dati da qualsiasi programma scritto con il linguaggio di</w:t>
      </w:r>
    </w:p>
    <w:p w:rsidR="00000000" w:rsidDel="00000000" w:rsidP="00000000" w:rsidRDefault="00000000" w:rsidRPr="00000000" w14:paraId="0000004E">
      <w:pPr>
        <w:ind w:left="720" w:firstLine="0"/>
        <w:rPr/>
      </w:pPr>
      <w:bookmarkStart w:colFirst="0" w:colLast="0" w:name="_5ubuxjirtyos" w:id="3"/>
      <w:bookmarkEnd w:id="3"/>
      <w:r w:rsidDel="00000000" w:rsidR="00000000" w:rsidRPr="00000000">
        <w:rPr>
          <w:rtl w:val="0"/>
        </w:rPr>
        <w:t xml:space="preserve">programmazione Java, indipendentemente dal tipo di DBMS utilizzato.</w:t>
      </w:r>
    </w:p>
    <w:p w:rsidR="00000000" w:rsidDel="00000000" w:rsidP="00000000" w:rsidRDefault="00000000" w:rsidRPr="00000000" w14:paraId="0000004F">
      <w:pPr>
        <w:ind w:left="720" w:firstLine="0"/>
        <w:rPr/>
      </w:pPr>
      <w:bookmarkStart w:colFirst="0" w:colLast="0" w:name="_yg4i5zh53xp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2f5496"/>
          <w:sz w:val="32"/>
          <w:szCs w:val="32"/>
        </w:rPr>
      </w:pPr>
      <w:bookmarkStart w:colFirst="0" w:colLast="0" w:name="_catdyz8urp4e" w:id="5"/>
      <w:bookmarkEnd w:id="5"/>
      <w:r w:rsidDel="00000000" w:rsidR="00000000" w:rsidRPr="00000000">
        <w:rPr>
          <w:color w:val="2f5496"/>
          <w:sz w:val="32"/>
          <w:szCs w:val="32"/>
          <w:rtl w:val="0"/>
        </w:rPr>
        <w:t xml:space="preserve">Design Pattern</w:t>
      </w:r>
    </w:p>
    <w:p w:rsidR="00000000" w:rsidDel="00000000" w:rsidP="00000000" w:rsidRDefault="00000000" w:rsidRPr="00000000" w14:paraId="00000051">
      <w:pPr>
        <w:ind w:left="0" w:firstLine="0"/>
        <w:rPr>
          <w:color w:val="2f5496"/>
          <w:sz w:val="32"/>
          <w:szCs w:val="32"/>
        </w:rPr>
      </w:pPr>
      <w:bookmarkStart w:colFirst="0" w:colLast="0" w:name="_tbqj0hhwwz7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2f5496"/>
          <w:sz w:val="32"/>
          <w:szCs w:val="32"/>
        </w:rPr>
      </w:pPr>
      <w:bookmarkStart w:colFirst="0" w:colLast="0" w:name="_awxsi9nbo76e" w:id="7"/>
      <w:bookmarkEnd w:id="7"/>
      <w:r w:rsidDel="00000000" w:rsidR="00000000" w:rsidRPr="00000000">
        <w:rPr>
          <w:color w:val="2f5496"/>
          <w:sz w:val="32"/>
          <w:szCs w:val="32"/>
          <w:rtl w:val="0"/>
        </w:rPr>
        <w:t xml:space="preserve">//FRANCESCO</w:t>
      </w:r>
    </w:p>
    <w:p w:rsidR="00000000" w:rsidDel="00000000" w:rsidP="00000000" w:rsidRDefault="00000000" w:rsidRPr="00000000" w14:paraId="00000053">
      <w:pPr>
        <w:ind w:left="0" w:firstLine="0"/>
        <w:rPr>
          <w:color w:val="2f5496"/>
          <w:sz w:val="32"/>
          <w:szCs w:val="32"/>
        </w:rPr>
      </w:pPr>
      <w:bookmarkStart w:colFirst="0" w:colLast="0" w:name="_mgfd3r4m7j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f5496"/>
          <w:sz w:val="32"/>
          <w:szCs w:val="32"/>
        </w:rPr>
      </w:pPr>
      <w:bookmarkStart w:colFirst="0" w:colLast="0" w:name="_maf8hik656fm" w:id="9"/>
      <w:bookmarkEnd w:id="9"/>
      <w:r w:rsidDel="00000000" w:rsidR="00000000" w:rsidRPr="00000000">
        <w:rPr>
          <w:color w:val="2f5496"/>
          <w:sz w:val="32"/>
          <w:szCs w:val="32"/>
          <w:rtl w:val="0"/>
        </w:rPr>
        <w:t xml:space="preserve">Packaging</w:t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color w:val="2f5496"/>
          <w:sz w:val="32"/>
          <w:szCs w:val="32"/>
        </w:rPr>
      </w:pPr>
      <w:bookmarkStart w:colFirst="0" w:colLast="0" w:name="_2i68l3g28dvw" w:id="10"/>
      <w:bookmarkEnd w:id="10"/>
      <w:r w:rsidDel="00000000" w:rsidR="00000000" w:rsidRPr="00000000">
        <w:rPr>
          <w:color w:val="2f5496"/>
          <w:sz w:val="32"/>
          <w:szCs w:val="32"/>
        </w:rPr>
        <w:drawing>
          <wp:inline distB="114300" distT="114300" distL="114300" distR="114300">
            <wp:extent cx="2657475" cy="37719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Il package “YouthClub“ conterrà i controller.</w:t>
      </w:r>
    </w:p>
    <w:p w:rsidR="00000000" w:rsidDel="00000000" w:rsidP="00000000" w:rsidRDefault="00000000" w:rsidRPr="00000000" w14:paraId="00000057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Il package “Api” conterrà le classi riguardanti le api e il geocoder.</w:t>
      </w:r>
    </w:p>
    <w:p w:rsidR="00000000" w:rsidDel="00000000" w:rsidP="00000000" w:rsidRDefault="00000000" w:rsidRPr="00000000" w14:paraId="00000058">
      <w:pPr>
        <w:tabs>
          <w:tab w:val="left" w:pos="7828"/>
        </w:tabs>
        <w:rPr/>
      </w:pPr>
      <w:r w:rsidDel="00000000" w:rsidR="00000000" w:rsidRPr="00000000">
        <w:rPr>
          <w:rtl w:val="0"/>
        </w:rPr>
        <w:t xml:space="preserve">Il package “Model” conterrà “locali” “place” “users” “recensioni”. </w:t>
      </w:r>
    </w:p>
    <w:p w:rsidR="00000000" w:rsidDel="00000000" w:rsidP="00000000" w:rsidRDefault="00000000" w:rsidRPr="00000000" w14:paraId="00000059">
      <w:pPr>
        <w:tabs>
          <w:tab w:val="left" w:pos="7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828"/>
        </w:tabs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//MANCA PACKAGE YOUTH CLUB</w:t>
      </w:r>
    </w:p>
    <w:p w:rsidR="00000000" w:rsidDel="00000000" w:rsidP="00000000" w:rsidRDefault="00000000" w:rsidRPr="00000000" w14:paraId="0000005B">
      <w:pPr>
        <w:tabs>
          <w:tab w:val="left" w:pos="7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82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8775" cy="1638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4845"/>
        <w:gridCol w:w="4785"/>
        <w:tblGridChange w:id="0">
          <w:tblGrid>
            <w:gridCol w:w="4845"/>
            <w:gridCol w:w="4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ApiProvider.java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astratta che rappresenta il modello di interazione con le tre Api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FourSquare.java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permette di eseguire l’interrogazione al servizio offerto da FourSquare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Geocoding.java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permette in base ai dati in input di effettuare il geocoding o il reverse geocoding; e gestire i luoghi per l’applicativo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GoogleApi.java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Classe che permette di eseguire l’interrogazione al servizio offerto da Google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ItemApi.java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di supporto che  mette in correlazione le nostre categorie con quelle dei servizi esterni.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Interfaccia che implementa i metodi esterni per la ricerca.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YelpApi.javael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Classe che permette di eseguire l’interrogazione al servizio offerto da Yelp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82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82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4600" cy="685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rappresenta l’astrazione delle categorie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DriverManagerConnectionPool.java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Classe che gestisce la creazione di una serie di connessioni al database e il mantenimento delle stesse per la realizzazione di una connection pool.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tabs>
          <w:tab w:val="left" w:pos="782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90650" cy="8001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Un'interfaccia che astrae il concetto di un locale.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rappresenta il concetto di locale.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LocaleDM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si occupa di aggiungere, modificare o restituire un locale.</w: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82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3025" cy="80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rappresenta il concetto di luogo.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PlaceDM.java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si occupa di aggiungere, modificare e controllare se esiste un luogo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Interfaccia che astrae il concetto di luogo</w:t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82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3025" cy="80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rappresenta il concetto di 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UserDM.java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crea e restituisce un utente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Utentable.java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Interfaccia che astrae il concetto di utente</w:t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828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57375" cy="800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Recensione.java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rappresenta il concetto di recensione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RecensioneDM.java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 che aggiunge, modifica e restituisce una recensione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Recensionable.java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Interfaccia che astrae il concetto di recensione</w:t>
            </w:r>
          </w:p>
        </w:tc>
      </w:tr>
    </w:tbl>
    <w:p w:rsidR="00000000" w:rsidDel="00000000" w:rsidP="00000000" w:rsidRDefault="00000000" w:rsidRPr="00000000" w14:paraId="000000AD">
      <w:pPr>
        <w:tabs>
          <w:tab w:val="left" w:pos="7828"/>
        </w:tabs>
        <w:jc w:val="left"/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