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「故中曽根康弘」内閣・自由民主党合同葬儀における自衛隊の礼式に関する省令</w:t>
        <w:br/>
        <w:t>（令和二年防衛省令第九号）</w:t>
      </w:r>
    </w:p>
    <w:p>
      <w:pPr>
        <w:pStyle w:val="Heading4"/>
      </w:pPr>
      <w:r>
        <w:t>第一条（礼式）</w:t>
      </w:r>
    </w:p>
    <w:p>
      <w:r>
        <w:t>「故中曽根康弘」内閣・自由民主党合同葬儀に際し、自衛隊が儀礼を行う場合の礼式は、儀じょう及びと列とする。</w:t>
      </w:r>
    </w:p>
    <w:p>
      <w:pPr>
        <w:pStyle w:val="Heading4"/>
      </w:pPr>
      <w:r>
        <w:t>第二条（礼式の目的）</w:t>
      </w:r>
    </w:p>
    <w:p>
      <w:r>
        <w:t>儀じょうは、ひつぎを警衛し、及びこれに敬意を表するために行う。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と列は、ひつぎを途上において送迎し、及びこれに敬意を表するために行う。</w:t>
      </w:r>
    </w:p>
    <w:p>
      <w:pPr>
        <w:pStyle w:val="Heading4"/>
      </w:pPr>
      <w:r>
        <w:t>第三条（委任規定）</w:t>
      </w:r>
    </w:p>
    <w:p>
      <w:r>
        <w:t>第一条の礼式の実施に関し必要な事項は、防衛大臣が定める。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「故中曽根康弘」内閣・自由民主党合同葬儀における自衛隊の礼式に関する省令</w:t>
      <w:br/>
      <w:tab/>
      <w:t>（令和二年防衛省令第九号）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「故中曽根康弘」内閣・自由民主党合同葬儀における自衛隊の礼式に関する省令（令和二年防衛省令第九号）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