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あん摩マツサージ指圧師、はり師、きゆう師等に関する法律施行令</w:t>
        <w:br/>
        <w:t>（平成四年政令第三百一号）</w:t>
      </w:r>
    </w:p>
    <w:p>
      <w:pPr>
        <w:pStyle w:val="Heading4"/>
      </w:pPr>
      <w:r>
        <w:t>第一条（学校又は養成施設の認定）</w:t>
      </w:r>
    </w:p>
    <w:p>
      <w:r>
        <w:t>行政庁は、あん摩マツサージ指圧師、はり師、きゆう師等に関する法律（以下「法」という。）第二条第一項又は第十八条の二第一項に規定する学校又は養成施設（以下「学校養成施設」という。）の認定を行う場合には、入学又は入所の資格、修業年限、教育の内容その他の事項に関し主務省令で定める基準に従い、行うものとする。</w:t>
      </w:r>
    </w:p>
    <w:p>
      <w:pPr>
        <w:pStyle w:val="Heading5"/>
        <w:ind w:left="440"/>
      </w:pPr>
      <w:r>
        <w:t>２</w:t>
      </w:r>
    </w:p>
    <w:p>
      <w:pPr>
        <w:ind w:left="440"/>
      </w:pPr>
      <w:r>
        <w:t>都道府県知事は、前項の規定により法第二条第一項第二号に定める養成施設の認定をしたときは、遅滞なく、当該養成施設の名称及び位置、認定をした年月日その他の主務省令で定める事項を厚生労働大臣に報告するものとする。</w:t>
      </w:r>
    </w:p>
    <w:p>
      <w:pPr>
        <w:pStyle w:val="Heading4"/>
      </w:pPr>
      <w:r>
        <w:t>第二条（認定の申請）</w:t>
      </w:r>
    </w:p>
    <w:p>
      <w:r>
        <w:t>前条第一項の学校養成施設の認定を受けようとするときは、その設置者は、行政庁に申請しなければならない。</w:t>
        <w:br/>
        <w:t>この場合において、当該設置者が学校又は法第二条第一項第一号に定める養成施設（以下「厚生労働大臣認定養成施設」という。）の設置者であるときは、その所在地の都道府県知事（公立の学校にあっては、その所在地の都道府県教育委員会。次条第一項及び第二項、第四条第一項並びに第七条において同じ。）を経由して行わなければならない。</w:t>
      </w:r>
    </w:p>
    <w:p>
      <w:pPr>
        <w:pStyle w:val="Heading4"/>
      </w:pPr>
      <w:r>
        <w:t>第三条（変更の承認又は届出）</w:t>
      </w:r>
    </w:p>
    <w:p>
      <w:r>
        <w:t>第一条第一項の認定を受けた学校養成施設（以下「認定学校養成施設」という。）の設置者は、法第二条第三項に定める事項を変更しようとするときは、行政庁に申請し、その承認を受けなければならない。</w:t>
        <w:br/>
        <w:t>この場合において、当該設置者が学校又は厚生労働大臣認定養成施設の設置者であるときは、その所在地の都道府県知事を経由して行わなければならない。</w:t>
      </w:r>
    </w:p>
    <w:p>
      <w:pPr>
        <w:pStyle w:val="Heading5"/>
        <w:ind w:left="440"/>
      </w:pPr>
      <w:r>
        <w:t>２</w:t>
      </w:r>
    </w:p>
    <w:p>
      <w:pPr>
        <w:ind w:left="440"/>
      </w:pPr>
      <w:r>
        <w:t>認定学校養成施設の設置者は、主務省令で定める事項に変更があったときは、その日から一月以内に、行政庁に届け出なければならない。</w:t>
        <w:br/>
        <w:t>この場合において、当該設置者が学校又は厚生労働大臣認定養成施設の設置者であるときは、その所在地の都道府県知事を経由して行わなければならない。</w:t>
      </w:r>
    </w:p>
    <w:p>
      <w:pPr>
        <w:pStyle w:val="Heading5"/>
        <w:ind w:left="440"/>
      </w:pPr>
      <w:r>
        <w:t>３</w:t>
      </w:r>
    </w:p>
    <w:p>
      <w:pPr>
        <w:ind w:left="440"/>
      </w:pPr>
      <w:r>
        <w:t>都道府県知事は、第一項の規定により、第一条第一項の認定を受けた法第二条第一項第二号に定める養成施設（以下この項及び第六条第二項において「認定養成施設」という。）の変更の承認をしたとき、又は前項の規定により認定養成施設の変更の届出を受理したときは、主務省令で定めるところにより、当該変更の承認又は届出に係る事項を厚生労働大臣に報告するものとする。</w:t>
      </w:r>
    </w:p>
    <w:p>
      <w:pPr>
        <w:pStyle w:val="Heading4"/>
      </w:pPr>
      <w:r>
        <w:t>第四条（報告）</w:t>
      </w:r>
    </w:p>
    <w:p>
      <w:r>
        <w:t>認定学校養成施設の設置者は、毎学年度開始後二月以内に、主務省令で定める事項を、行政庁に報告しなければならない。</w:t>
        <w:br/>
        <w:t>この場合において、当該設置者が学校又は厚生労働大臣認定養成施設の設置者であるときは、その所在地の都道府県知事を経由して行わなければならない。</w:t>
      </w:r>
    </w:p>
    <w:p>
      <w:pPr>
        <w:pStyle w:val="Heading5"/>
        <w:ind w:left="440"/>
      </w:pPr>
      <w:r>
        <w:t>２</w:t>
      </w:r>
    </w:p>
    <w:p>
      <w:pPr>
        <w:ind w:left="440"/>
      </w:pPr>
      <w:r>
        <w:t>都道府県知事は、前項の規定により報告を受けたときは、毎学年度開始後四月以内に、当該報告に係る事項（主務省令で定めるものを除く。）を厚生労働大臣に報告するものとする。</w:t>
      </w:r>
    </w:p>
    <w:p>
      <w:pPr>
        <w:pStyle w:val="Heading4"/>
      </w:pPr>
      <w:r>
        <w:t>第五条（報告の徴収及び指示）</w:t>
      </w:r>
    </w:p>
    <w:p>
      <w:r>
        <w:t>行政庁は、認定学校養成施設につき必要があると認めるときは、その設置者又は長に対して報告を求めることができる。</w:t>
      </w:r>
    </w:p>
    <w:p>
      <w:pPr>
        <w:pStyle w:val="Heading5"/>
        <w:ind w:left="440"/>
      </w:pPr>
      <w:r>
        <w:t>２</w:t>
      </w:r>
    </w:p>
    <w:p>
      <w:pPr>
        <w:ind w:left="440"/>
      </w:pPr>
      <w:r>
        <w:t>行政庁は、第一条第一項に規定する主務省令で定める基準に照らして、認定学校養成施設の教育の内容、教育の方法、施設、設備その他の内容が適当でないと認めるときは、その設置者又は長に対して必要な指示をすることができる。</w:t>
      </w:r>
    </w:p>
    <w:p>
      <w:pPr>
        <w:pStyle w:val="Heading4"/>
      </w:pPr>
      <w:r>
        <w:t>第六条（認定の取消し）</w:t>
      </w:r>
    </w:p>
    <w:p>
      <w:r>
        <w:t>行政庁は、認定学校養成施設が第一条第一項に規定する主務省令で定める基準に適合しなくなったと認めるとき、若しくはその設置者若しくは長が前条第二項の規定による指示に従わないとき、又は次条の規定による申請があったときは、その認定を取り消すことができる。</w:t>
      </w:r>
    </w:p>
    <w:p>
      <w:pPr>
        <w:pStyle w:val="Heading5"/>
        <w:ind w:left="440"/>
      </w:pPr>
      <w:r>
        <w:t>２</w:t>
      </w:r>
    </w:p>
    <w:p>
      <w:pPr>
        <w:ind w:left="440"/>
      </w:pPr>
      <w:r>
        <w:t>都道府県知事は、前項の規定により認定養成施設の認定を取り消したときは、遅滞なく、当該認定養成施設の名称及び位置、認定を取り消した年月日その他の主務省令で定める事項を厚生労働大臣に報告するものとする。</w:t>
      </w:r>
    </w:p>
    <w:p>
      <w:pPr>
        <w:pStyle w:val="Heading4"/>
      </w:pPr>
      <w:r>
        <w:t>第七条（認定取消しの申請）</w:t>
      </w:r>
    </w:p>
    <w:p>
      <w:r>
        <w:t>認定学校養成施設について、行政庁の認定の取消しを受けようとするときは、その設置者は、申請書を、行政庁に提出しなければならない。</w:t>
        <w:br/>
        <w:t>この場合において、当該設置者が学校又は厚生労働大臣認定養成施設の設置者であるときは、その所在地の都道府県知事を経由して行わなければならない。</w:t>
      </w:r>
    </w:p>
    <w:p>
      <w:pPr>
        <w:pStyle w:val="Heading4"/>
      </w:pPr>
      <w:r>
        <w:t>第八条（国の設置する学校養成施設の特例）</w:t>
      </w:r>
    </w:p>
    <w:p>
      <w:r>
        <w:t>国の設置する学校養成施設に係る前各条の規定の適用については、次の表の上欄に掲げる規定中同表の中欄に掲げる字句は、それぞれ同表の下欄に掲げる字句と読み替えるものとする。</w:t>
      </w:r>
    </w:p>
    <w:p>
      <w:pPr>
        <w:pStyle w:val="Heading4"/>
      </w:pPr>
      <w:r>
        <w:t>第九条（主務省令への委任）</w:t>
      </w:r>
    </w:p>
    <w:p>
      <w:r>
        <w:t>前各条に定めるもののほか、申請書の添付書類その他学校養成施設の認定に関して必要な事項は、主務省令で定める。</w:t>
      </w:r>
    </w:p>
    <w:p>
      <w:pPr>
        <w:pStyle w:val="Heading4"/>
      </w:pPr>
      <w:r>
        <w:t>第十条（行政庁等）</w:t>
      </w:r>
    </w:p>
    <w:p>
      <w:r>
        <w:t>この政令における行政庁は、次の各号に掲げる事項の区分に応じ、それぞれ当該各号に定める者とする。</w:t>
      </w:r>
    </w:p>
    <w:p>
      <w:pPr>
        <w:pStyle w:val="ListBullet"/>
        <w:ind w:left="880"/>
      </w:pPr>
      <w:r>
        <w:t>一</w:t>
        <w:br/>
        <w:t>法第二条第一項及び法第十八条の二第一項の規定による学校の認定に関する事項</w:t>
        <w:br/>
        <w:br/>
        <w:br/>
        <w:t>文部科学大臣</w:t>
      </w:r>
    </w:p>
    <w:p>
      <w:pPr>
        <w:pStyle w:val="ListBullet"/>
        <w:ind w:left="880"/>
      </w:pPr>
      <w:r>
        <w:t>二</w:t>
        <w:br/>
        <w:t>法第二条第一項の規定による厚生労働大臣認定養成施設の認定及び法第十八条の二第一項の規定による同項に規定する養成施設の認定に関する事項</w:t>
        <w:br/>
        <w:br/>
        <w:br/>
        <w:t>厚生労働大臣</w:t>
      </w:r>
    </w:p>
    <w:p>
      <w:pPr>
        <w:pStyle w:val="ListBullet"/>
        <w:ind w:left="880"/>
      </w:pPr>
      <w:r>
        <w:t>三</w:t>
        <w:br/>
        <w:t>法第二条第一項の規定による同項第二号に定める養成施設の認定に関する事項</w:t>
        <w:br/>
        <w:br/>
        <w:br/>
        <w:t>都道府県知事</w:t>
      </w:r>
    </w:p>
    <w:p>
      <w:pPr>
        <w:pStyle w:val="Heading5"/>
        <w:ind w:left="440"/>
      </w:pPr>
      <w:r>
        <w:t>２</w:t>
      </w:r>
    </w:p>
    <w:p>
      <w:pPr>
        <w:ind w:left="440"/>
      </w:pPr>
      <w:r>
        <w:t>この政令における主務省令は、文部科学省令・厚生労働省令とする。</w:t>
      </w:r>
    </w:p>
    <w:p>
      <w:pPr>
        <w:pStyle w:val="Heading4"/>
      </w:pPr>
      <w:r>
        <w:t>第十一条（受験手数料）</w:t>
      </w:r>
    </w:p>
    <w:p>
      <w:r>
        <w:t>法第二条第七項の政令で定める受験手数料の額は、一万四千四百円とする。</w:t>
      </w:r>
    </w:p>
    <w:p>
      <w:pPr>
        <w:pStyle w:val="Heading4"/>
      </w:pPr>
      <w:r>
        <w:t>第十二条（免許に関する事項の登録等の手数料）</w:t>
      </w:r>
    </w:p>
    <w:p>
      <w:r>
        <w:t>法第三条の二十四第二項の政令で定める手数料の額は、次の各号に掲げる者の区分に応じ、それぞれ当該各号に定める額とする。</w:t>
      </w:r>
    </w:p>
    <w:p>
      <w:pPr>
        <w:pStyle w:val="ListBullet"/>
        <w:ind w:left="880"/>
      </w:pPr>
      <w:r>
        <w:t>一</w:t>
        <w:br/>
        <w:t>あん摩マッサージ指圧師、はり師又はきゅう師の登録を受けようとする者</w:t>
        <w:br/>
        <w:br/>
        <w:br/>
        <w:t>五千六百円</w:t>
      </w:r>
    </w:p>
    <w:p>
      <w:pPr>
        <w:pStyle w:val="ListBullet"/>
        <w:ind w:left="880"/>
      </w:pPr>
      <w:r>
        <w:t>二</w:t>
        <w:br/>
        <w:t>あん摩マッサージ指圧師免許証、はり師免許証若しくはきゅう師免許証又はあん摩マッサージ指圧師免許証明書、はり師免許証明書若しくはきゅう師免許証明書（次号において「免許証等」という。）の記載事項の変更を受けようとする者</w:t>
        <w:br/>
        <w:br/>
        <w:br/>
        <w:t>三千百円</w:t>
      </w:r>
    </w:p>
    <w:p>
      <w:pPr>
        <w:pStyle w:val="ListBullet"/>
        <w:ind w:left="880"/>
      </w:pPr>
      <w:r>
        <w:t>三</w:t>
        <w:br/>
        <w:t>免許証等の再交付を受けようとする者</w:t>
        <w:br/>
        <w:br/>
        <w:br/>
        <w:t>三千三百円</w:t>
      </w:r>
    </w:p>
    <w:p>
      <w:pPr>
        <w:pStyle w:val="Heading4"/>
      </w:pPr>
      <w:r>
        <w:t>第十三条（行政処分に関する通知）</w:t>
      </w:r>
    </w:p>
    <w:p>
      <w:r>
        <w:t>都道府県知事は、他の都道府県知事に対し法第十二条の二第一項の届出を行った者について、その業務を停止し、又はその業務の全部若しくは一部を禁止したときは、その届出を受理した都道府県知事に、その処分の年月日並びに処分の事由及び内容を通知しなければならない。</w:t>
      </w:r>
    </w:p>
    <w:p>
      <w:pPr>
        <w:pStyle w:val="Heading4"/>
      </w:pPr>
      <w:r>
        <w:t>第十四条（事務の区分）</w:t>
      </w:r>
    </w:p>
    <w:p>
      <w:r>
        <w:t>第二条後段、第三条第一項後段及び第二項後段、第四条第一項後段並びに第七条後段の規定により都道府県が処理することとされている事務は、地方自治法（昭和二十二年法律第六十七号）第二条第九項第一号に規定する第一号法定受託事務とする。</w:t>
      </w:r>
    </w:p>
    <w:p>
      <w:pPr>
        <w:pStyle w:val="Heading4"/>
      </w:pPr>
      <w:r>
        <w:t>第十五条（権限の委任）</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r>
        <w:br w:type="page"/>
      </w:r>
    </w:p>
    <w:p>
      <w:pPr>
        <w:pStyle w:val="Heading1"/>
      </w:pPr>
      <w:r>
        <w:t>附　則</w:t>
      </w:r>
    </w:p>
    <w:p>
      <w:pPr>
        <w:pStyle w:val="Heading5"/>
        <w:ind w:left="440"/>
      </w:pPr>
      <w:r>
        <w:t>１</w:t>
      </w:r>
    </w:p>
    <w:p>
      <w:pPr>
        <w:ind w:left="440"/>
      </w:pPr>
      <w:r>
        <w:t>この政令は、平成四年十月一日から施行する。</w:t>
      </w:r>
    </w:p>
    <w:p>
      <w:r>
        <w:br w:type="page"/>
      </w:r>
    </w:p>
    <w:p>
      <w:pPr>
        <w:pStyle w:val="Heading1"/>
      </w:pPr>
      <w:r>
        <w:t>附則（平成九年三月二四日政令第五七号）</w:t>
      </w:r>
    </w:p>
    <w:p>
      <w:pPr>
        <w:pStyle w:val="Heading5"/>
        <w:ind w:left="440"/>
      </w:pPr>
      <w:r>
        <w:t>１</w:t>
      </w:r>
    </w:p>
    <w:p>
      <w:pPr>
        <w:ind w:left="440"/>
      </w:pPr>
      <w:r>
        <w:t>この政令は、平成九年四月一日から施行する。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附則（平成一二年三月一七日政令第六五号）</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附則（平成一六年三月一九日政令第四六号）</w:t>
      </w:r>
    </w:p>
    <w:p>
      <w:r>
        <w:t>この政令は、平成十六年三月二十九日から施行する。</w:t>
      </w:r>
    </w:p>
    <w:p>
      <w:r>
        <w:br w:type="page"/>
      </w:r>
    </w:p>
    <w:p>
      <w:pPr>
        <w:pStyle w:val="Heading1"/>
      </w:pPr>
      <w:r>
        <w:t>附則（平成二三年八月三日政令第二四八号）</w:t>
      </w:r>
    </w:p>
    <w:p>
      <w:r>
        <w:t>この政令は、公布の日から施行する。</w:t>
      </w:r>
    </w:p>
    <w:p>
      <w:r>
        <w:br w:type="page"/>
      </w:r>
    </w:p>
    <w:p>
      <w:pPr>
        <w:pStyle w:val="Heading1"/>
      </w:pPr>
      <w:r>
        <w:t>附則（平成二七年三月三一日政令第一二八号）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附則（令和元年八月七日政令第七二号）</w:t>
      </w:r>
    </w:p>
    <w:p>
      <w:r>
        <w:t>この政令は、令和元年九月二日から施行する。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あん摩マツサージ指圧師、はり師、きゆう師等に関する法律施行令</w:t>
      <w:br/>
      <w:tab/>
      <w:t>（平成四年政令第三百一号）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あん摩マツサージ指圧師、はり師、きゆう師等に関する法律施行令（平成四年政令第三百一号）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