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とん税の納付書の様式を定める省令</w:t>
        <w:br/>
        <w:t>（昭和四十一年大蔵省令第十九号）</w:t>
      </w:r>
    </w:p>
    <w:p>
      <w:r>
        <w:t>とん税法施行令（昭和三十二年政令第四十八号）第二条第二項に規定する納付書の様式は、国税通則法施行規則（昭和三十七年大蔵省令第二十八号）別紙第一号書式に準ずるものとする。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この省令は、昭和四十一年四月一日から施行する。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とん税の納付書の様式を定める省令</w:t>
      <w:br/>
      <w:tab/>
      <w:t>（昭和四十一年大蔵省令第十九号）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とん税の納付書の様式を定める省令（昭和四十一年大蔵省令第十九号）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