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アフリカ開発銀行への加盟に伴う国債の発行等に関する省令</w:t>
        <w:br/>
        <w:t>（昭和五十八年大蔵省令第三号）</w:t>
      </w:r>
    </w:p>
    <w:p>
      <w:pPr>
        <w:pStyle w:val="Heading4"/>
      </w:pPr>
      <w:r>
        <w:t>第一条（国債の名称）</w:t>
      </w:r>
    </w:p>
    <w:p>
      <w:r>
        <w:t>アフリカ開発銀行（以下「銀行」という。）に出資し又は拠出するため、アフリカ開発銀行への加盟に伴う措置に関する法律（昭和五十六年法律第四十一号。以下「法」という。）第三条第二項の規定により発行する国債は、それぞれアフリカ開発銀行通貨代用国庫債券又はアフリカ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の場合には、日本銀行が買い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アフリカ開発銀行への加盟に伴う国債の発行等に関する省令</w:t>
      <w:br/>
      <w:tab/>
      <w:t>（昭和五十八年大蔵省令第三号）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アフリカ開発銀行への加盟に伴う国債の発行等に関する省令（昭和五十八年大蔵省令第三号）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