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アフリカ開発銀行への加盟に伴う国債の発行等に関する省令</w:t>
        <w:br/>
        <w:t>（昭和五十八年大蔵省令第三号）</w:t>
      </w:r>
    </w:p>
    <w:p>
      <w:pPr>
        <w:pStyle w:val="Heading4"/>
      </w:pPr>
      <w:r>
        <w:t>第一条（国債の名称）</w:t>
      </w:r>
    </w:p>
    <w:p>
      <w:r>
        <w:t>アフリカ開発銀行（以下「銀行」という。）に出資し又は拠出するため、アフリカ開発銀行への加盟に伴う措置に関する法律（昭和五十六年法律第四十一号。以下「法」という。）第三条第二項の規定により発行する国債は、それぞれアフリカ開発銀行通貨代用国庫債券又はアフリカ開発銀行特別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で出資し又は拠出する場合において、銀行に交付する通貨代用国庫債券の額面金額は、出資し又は拠出する都度必要な金額又はその金額を分割した金額とする。</w:t>
      </w:r>
    </w:p>
    <w:p>
      <w:pPr>
        <w:pStyle w:val="Heading4"/>
      </w:pPr>
      <w:r>
        <w:t>第五条（分割及び併合）</w:t>
      </w:r>
    </w:p>
    <w:p>
      <w:r>
        <w:t>政府は、銀行の請求があつたときは、当該請求に従い通貨代用国庫債券の額面金額の分割又は併合を行うことができる。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銀行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銀行の勘定（以下「銀行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第八条（日本銀行が買い取つた場合の措置）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い取ることを命ぜられたときは、当該金額を銀行の勘定に払い込まなければならない。</w:t>
      </w:r>
    </w:p>
    <w:p>
      <w:pPr>
        <w:pStyle w:val="Heading5"/>
        <w:ind w:left="440"/>
      </w:pPr>
      <w:r>
        <w:t>２</w:t>
      </w:r>
    </w:p>
    <w:p>
      <w:pPr>
        <w:ind w:left="440"/>
      </w:pPr>
      <w:r>
        <w:t>政府は、前項の場合には、日本銀行が買い取つ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アフリカ開発銀行への加盟に伴う国債の発行等に関する省令</w:t>
      <w:br/>
      <w:tab/>
      <w:t>（昭和五十八年大蔵省令第三号）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アフリカ開発銀行への加盟に伴う国債の発行等に関する省令（昭和五十八年大蔵省令第三号）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