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エネルギーの使用の合理化等に関する法律に規定する指定講習機関を指定する省令</w:t>
        <w:br/>
        <w:t>（平成十三年経済産業省令第百三十一号）</w:t>
      </w:r>
    </w:p>
    <w:p>
      <w:r>
        <w:t>エネルギーの使用の合理化等に関する法律（昭和五十四年法律第四十九号）第九条第一項第一号に規定する指定講習機関として次の者を指定する。</w:t>
      </w:r>
    </w:p>
    <w:p>
      <w:r>
        <w:br w:type="page"/>
      </w:r>
    </w:p>
    <w:p>
      <w:pPr>
        <w:pStyle w:val="Heading1"/>
      </w:pPr>
      <w:r>
        <w:t>附　則</w:t>
      </w:r>
    </w:p>
    <w:p>
      <w:r>
        <w:t>この省令は、平成十三年三月三十一日から施行する。</w:t>
      </w:r>
    </w:p>
    <w:p>
      <w:r>
        <w:br w:type="page"/>
      </w:r>
    </w:p>
    <w:p>
      <w:pPr>
        <w:pStyle w:val="Heading1"/>
      </w:pPr>
      <w:r>
        <w:t>附則（平成一五年八月一日経済産業省令第九一号）</w:t>
      </w:r>
    </w:p>
    <w:p>
      <w:pPr>
        <w:pStyle w:val="Heading4"/>
      </w:pPr>
      <w:r>
        <w:t>第一条（施行期日）</w:t>
      </w:r>
    </w:p>
    <w:p>
      <w:r>
        <w:t>この省令は、公布の日から施行する。</w:t>
      </w:r>
    </w:p>
    <w:p>
      <w:pPr>
        <w:pStyle w:val="Heading4"/>
      </w:pPr>
      <w:r>
        <w:t>第二条（経過措置）</w:t>
      </w:r>
    </w:p>
    <w:p>
      <w:r>
        <w:t>この省令の施行の際現にこの省令による改正前のエネルギーの使用の合理化に関する法律第十二条の三第一項第一号に規定する指定講習機関を指定する省令の規定により指定されている機関については、その機関に係る指定はこの省令による改正後のエネルギーの使用の合理化に関する法律に規定する指定講習機関を指定する省令の規定によりしたものとする。</w:t>
      </w:r>
    </w:p>
    <w:p>
      <w:r>
        <w:br w:type="page"/>
      </w:r>
    </w:p>
    <w:p>
      <w:pPr>
        <w:pStyle w:val="Heading1"/>
      </w:pPr>
      <w:r>
        <w:t>附則（平成一八年三月二九日経済産業省令第一七号）</w:t>
      </w:r>
    </w:p>
    <w:p>
      <w:r>
        <w:t>この省令は、平成十八年四月一日から施行する。</w:t>
      </w:r>
    </w:p>
    <w:p>
      <w:r>
        <w:br w:type="page"/>
      </w:r>
    </w:p>
    <w:p>
      <w:pPr>
        <w:pStyle w:val="Heading1"/>
      </w:pPr>
      <w:r>
        <w:t>附則（平成一九年九月一八日経済産業省令第六一号）</w:t>
      </w:r>
    </w:p>
    <w:p>
      <w:r>
        <w:t>この省令は、平成十九年九月十八日から施行する。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附則（平成二五年一二月二七日経済産業省令第六六号）</w:t>
      </w:r>
    </w:p>
    <w:p>
      <w:pPr>
        <w:pStyle w:val="Heading4"/>
      </w:pPr>
      <w:r>
        <w:t>第一条（施行期日）</w:t>
      </w:r>
    </w:p>
    <w:p>
      <w:r>
        <w:t>この省令は、エネルギーの使用の合理化に関する法律の一部を改正する等の法律の施行の日（平成二十六年四月一日）から施行する。</w:t>
      </w:r>
    </w:p>
    <w:p>
      <w:r>
        <w:br w:type="page"/>
      </w:r>
    </w:p>
    <w:p>
      <w:pPr>
        <w:pStyle w:val="Heading1"/>
      </w:pPr>
      <w:r>
        <w:t>附則（平成二六年一〇月一五日経済産業省令第五三号）</w:t>
      </w:r>
    </w:p>
    <w:p>
      <w:r>
        <w:t>この省令は、公布の日から施行する。</w:t>
      </w:r>
    </w:p>
    <w:p>
      <w:r>
        <w:br w:type="page"/>
      </w:r>
    </w:p>
    <w:p>
      <w:pPr>
        <w:pStyle w:val="Heading1"/>
      </w:pPr>
      <w:r>
        <w:t>附則（平成三〇年一一月三〇日経済産業省令第六九号）</w:t>
      </w:r>
    </w:p>
    <w:p>
      <w:r>
        <w:t>この省令は、エネルギーの使用の合理化等に関する法律の一部を改正する法律の施行の日（平成三十年十二月一日）から施行する。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エネルギーの使用の合理化等に関する法律に規定する指定講習機関を指定する省令</w:t>
      <w:br/>
      <w:tab/>
      <w:t>（平成十三年経済産業省令第百三十一号）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エネルギーの使用の合理化等に関する法律に規定する指定講習機関を指定する省令（平成十三年経済産業省令第百三十一号）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