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ガス事業法第二十九条第三項に規定する経済産業大臣が指定する者を定める省令</w:t>
        <w:br/>
        <w:t>（平成十三年経済産業省令第百十九号）</w:t>
      </w:r>
    </w:p>
    <w:p>
      <w:r>
        <w:t>ガス事業法（昭和二十九年法律第五十一号）第二十九条第三項に規定する経済産業大臣が指定する者として次の者を指定する。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ガス事業法（昭和二十九年法律第五十一号。以下「法」という。）第三十六条の二の二第一項に規定する認定ガス工作物検査機関の認定を受けた者の法第三十六条の十九第一項の政令で定める期間の起算日は、当該者が当該認定を受けた日とする。</w:t>
      </w:r>
    </w:p>
    <w:p>
      <w:pPr>
        <w:pStyle w:val="Heading5"/>
        <w:ind w:left="440"/>
      </w:pPr>
      <w:r>
        <w:t>３</w:t>
      </w:r>
    </w:p>
    <w:p>
      <w:pPr>
        <w:ind w:left="440"/>
      </w:pPr>
      <w:r>
        <w:t>この省令の施行前に法第三十九条の十一第一項に規定する認定ガス用品検査機関の認定を受けた者の法第三十九条の十五第二項において準用する法第三十六条の十九第一項の政令で定める期間の起算日は、当該者が当該認定を受けた日とする。</w:t>
      </w:r>
    </w:p>
    <w:p>
      <w:r>
        <w:br w:type="page"/>
      </w:r>
    </w:p>
    <w:p>
      <w:pPr>
        <w:pStyle w:val="Heading1"/>
      </w:pPr>
      <w:r>
        <w:t>附則（平成一六年二月二五日経済産業省令第二一号）</w:t>
      </w:r>
    </w:p>
    <w:p>
      <w:pPr>
        <w:pStyle w:val="Heading4"/>
      </w:pPr>
      <w:r>
        <w:t>第一条（施行期日）</w:t>
      </w:r>
    </w:p>
    <w:p>
      <w:r>
        <w:t>この省令は、平成十六年三月一日から施行する。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ガス事業法第二十九条第三項に規定する経済産業大臣が指定する者を定める省令</w:t>
      <w:br/>
      <w:tab/>
      <w:t>（平成十三年経済産業省令第百十九号）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ガス事業法第二十九条第三項に規定する経済産業大臣が指定する者を定める省令（平成十三年経済産業省令第百十九号）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