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スポーツ審議会令</w:t>
        <w:br/>
        <w:t>（平成二十七年政令第三百二十九号）</w:t>
      </w:r>
    </w:p>
    <w:p>
      <w:pPr>
        <w:pStyle w:val="Heading4"/>
      </w:pPr>
      <w:r>
        <w:t>第一条（組織）</w:t>
      </w:r>
    </w:p>
    <w:p>
      <w:r>
        <w:t>スポーツ審議会（以下「審議会」という。）は、委員二十人以内で組織する。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委員は、学識経験のある者のうちから、スポーツ庁長官が任命する。</w:t>
      </w:r>
    </w:p>
    <w:p>
      <w:pPr>
        <w:pStyle w:val="Heading5"/>
        <w:ind w:left="440"/>
      </w:pPr>
      <w:r>
        <w:t>２</w:t>
      </w:r>
    </w:p>
    <w:p>
      <w:pPr>
        <w:ind w:left="440"/>
      </w:pPr>
      <w:r>
        <w:t>臨時委員は、当該特別の事項に関し学識経験のある者のうちから、スポーツ庁長官が任命する。</w:t>
      </w:r>
    </w:p>
    <w:p>
      <w:pPr>
        <w:pStyle w:val="Heading5"/>
        <w:ind w:left="440"/>
      </w:pPr>
      <w:r>
        <w:t>３</w:t>
      </w:r>
    </w:p>
    <w:p>
      <w:pPr>
        <w:ind w:left="440"/>
      </w:pPr>
      <w:r>
        <w:t>専門委員は、当該専門の事項に関し学識経験のある者のうちから、スポーツ庁長官が任命する。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審議会の庶務は、スポーツ庁政策課において処理する。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スポーツ審議会令</w:t>
      <w:br/>
      <w:tab/>
      <w:t>（平成二十七年政令第三百二十九号）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スポーツ審議会令（平成二十七年政令第三百二十九号）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