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スーダン住民投票監視国際平和協力隊の設置等に関する政令</w:t>
        <w:br/>
        <w:t>（平成二十二年政令第二百四十三号）</w:t>
      </w:r>
    </w:p>
    <w:p>
      <w:pPr>
        <w:pStyle w:val="Heading4"/>
      </w:pPr>
      <w:r>
        <w:t>第一条（国際平和協力隊の設置）</w:t>
      </w:r>
    </w:p>
    <w:p>
      <w:r>
        <w:t>国際平和協力本部に、スーダン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二十三年三月三十一日までの間、スーダン住民投票監視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スーダン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協力隊の隊員の法第十九条に規定する定員は、十人とする。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スーダン住民投票監視国際平和協力隊の設置等に関する政令</w:t>
      <w:br/>
      <w:tab/>
      <w:t>（平成二十二年政令第二百四十三号）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スーダン住民投票監視国際平和協力隊の設置等に関する政令（平成二十二年政令第二百四十三号）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