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ハンセン病元患者家族補償金認定審査会令</w:t>
        <w:br/>
        <w:t>（令和二年政令第五号）</w:t>
      </w:r>
    </w:p>
    <w:p>
      <w:pPr>
        <w:pStyle w:val="Heading4"/>
      </w:pPr>
      <w:r>
        <w:t>第一条（委員の数の上限）</w:t>
      </w:r>
    </w:p>
    <w:p>
      <w:r>
        <w:t>ハンセン病元患者家族に対する補償金の支給等に関する法律（以下「法」という。）第二十条第一項の政令で定める人数は、二十人とする。</w:t>
      </w:r>
    </w:p>
    <w:p>
      <w:pPr>
        <w:pStyle w:val="Heading4"/>
      </w:pPr>
      <w:r>
        <w:t>第二条（部会）</w:t>
      </w:r>
    </w:p>
    <w:p>
      <w:r>
        <w:t>ハンセン病元患者家族補償金認定審査会（以下「審査会」という。）は、その定めるところにより、部会を置くことができる。</w:t>
      </w:r>
    </w:p>
    <w:p>
      <w:pPr>
        <w:pStyle w:val="Heading5"/>
        <w:ind w:left="440"/>
      </w:pPr>
      <w:r>
        <w:t>２</w:t>
      </w:r>
    </w:p>
    <w:p>
      <w:pPr>
        <w:ind w:left="440"/>
      </w:pPr>
      <w:r>
        <w:t>部会に属すべき委員は、会長が指名する。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5"/>
        <w:ind w:left="440"/>
      </w:pPr>
      <w:r>
        <w:t>６</w:t>
      </w:r>
    </w:p>
    <w:p>
      <w:pPr>
        <w:ind w:left="440"/>
      </w:pPr>
      <w:r>
        <w:t>審査会は、その定めるところにより、部会の議決をもって審査会の議決とすることができる。</w:t>
      </w:r>
    </w:p>
    <w:p>
      <w:pPr>
        <w:pStyle w:val="Heading4"/>
      </w:pPr>
      <w:r>
        <w:t>第三条（議事）</w:t>
      </w:r>
    </w:p>
    <w:p>
      <w:r>
        <w:t>審査会は、委員の過半数が出席しなければ、会議を開き、議決することができない。</w:t>
      </w:r>
    </w:p>
    <w:p>
      <w:pPr>
        <w:pStyle w:val="Heading5"/>
        <w:ind w:left="440"/>
      </w:pPr>
      <w:r>
        <w:t>２</w:t>
      </w:r>
    </w:p>
    <w:p>
      <w:pPr>
        <w:ind w:left="440"/>
      </w:pPr>
      <w:r>
        <w:t>審査会の議事は、委員で会議に出席したものの過半数で決し、可否同数のときは、会長の決するところによる。</w:t>
      </w:r>
    </w:p>
    <w:p>
      <w:pPr>
        <w:pStyle w:val="Heading5"/>
        <w:ind w:left="440"/>
      </w:pPr>
      <w:r>
        <w:t>３</w:t>
      </w:r>
    </w:p>
    <w:p>
      <w:pPr>
        <w:ind w:left="440"/>
      </w:pPr>
      <w:r>
        <w:t>前二項の規定は、部会の議事に準用する。</w:t>
      </w:r>
    </w:p>
    <w:p>
      <w:pPr>
        <w:pStyle w:val="Heading4"/>
      </w:pPr>
      <w:r>
        <w:t>第四条（庶務）</w:t>
      </w:r>
    </w:p>
    <w:p>
      <w:r>
        <w:t>審査会の庶務は、厚生労働省健康局難病対策課において処理する。</w:t>
      </w:r>
    </w:p>
    <w:p>
      <w:pPr>
        <w:pStyle w:val="Heading4"/>
      </w:pPr>
      <w:r>
        <w:t>第五条（審査会の運営）</w:t>
      </w:r>
    </w:p>
    <w:p>
      <w:r>
        <w:t>この政令に定めるもののほか、議事の手続その他審査会の運営に関し必要な事項は、会長が審査会に諮って定める。</w:t>
      </w:r>
    </w:p>
    <w:p>
      <w:r>
        <w:br w:type="page"/>
      </w:r>
    </w:p>
    <w:p>
      <w:pPr>
        <w:pStyle w:val="Heading1"/>
      </w:pPr>
      <w:r>
        <w:t>附　則</w:t>
      </w:r>
    </w:p>
    <w:p>
      <w:r>
        <w:t>この政令は、法附則第一条ただし書に規定する規定の施行の日から施行する。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ハンセン病元患者家族補償金認定審査会令</w:t>
      <w:br/>
      <w:tab/>
      <w:t>（令和二年政令第五号）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ハンセン病元患者家族補償金認定審査会令（令和二年政令第五号）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