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フロン類の使用の合理化及び管理の適正化に関する法律に係る民間事業者等が行う書面の保存等における情報通信の技術の利用に関する法律施行規則</w:t>
        <w:br/>
        <w:t>（平成十九年経済産業省・環境省令第八号）</w:t>
      </w:r>
    </w:p>
    <w:p>
      <w:pPr>
        <w:pStyle w:val="Heading4"/>
      </w:pPr>
      <w:r>
        <w:t>第一条（趣旨）</w:t>
      </w:r>
    </w:p>
    <w:p>
      <w:r>
        <w:t>民間事業者等が、フロン類の使用の合理化及び管理の適正化に関する法律（平成十三年法律第六十四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フロン類の使用の合理化及び管理の適正化に関する法律第四十三条第三項、第四項及び第七項、第四十五条第一項から第三項まで及び第五項、第四十七条第一項、第五十九条第一項から第三項まで、第六十条第一項、第七十条第一項、同条第二項において準用する第五十九条第二項及び第三項並びに第七十一条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民間事業者等が、第一項の規定に基づき、前条に規定する書面の保存に代えて当該書面に係る電磁的記録の保存を行う場合は、主務大臣が定める基準を確保するよう努めなければならない。</w:t>
      </w:r>
    </w:p>
    <w:p>
      <w:pPr>
        <w:pStyle w:val="Heading4"/>
      </w:pPr>
      <w:r>
        <w:t>第五条（法第四条第一項の主務省令で定める作成）</w:t>
      </w:r>
    </w:p>
    <w:p>
      <w:r>
        <w:t>法第四条第一項の主務省令で定める作成は、フロン類の使用の合理化及び管理の適正化に関する法律第四十三条第一項、第二項及び第四項から第六項まで、第四十五条第一項及び第二項、第四十七条第一項、第五十九条第一項、第六十条第一項、第七十条第一項並びに第七十一条第一項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法第五条第一項の主務省令で定める縦覧等は、フロン類の使用の合理化及び管理の適正化に関する法律第四十七条第二項、第六十条第二項及び第七十一条第二項の規定に基づく書面の縦覧等とする。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フロン類の使用の合理化及び管理の適正化に関する法律第四十三条第一項、第二項及び第四項から第六項まで、第四十五条第一項及び第二項、第五十九条第一項から第三項まで並びに第七十条第一項、同条第二項において準用する第五十九条第二項及び第三項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民間事業者等が行う書面の保存等における情報通信の技術の利用に関する法律施行令第二条第一項の規定により示すべき交付等の相手方に示すべき方法の種類及び内容は、次に掲げる事項とする。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この省令は、特定製品に係るフロン類の回収及び破壊の実施の確保等に関する法律の一部を改正する法律（平成十八年法律第五十九号）の施行の日（平成十九年十月一日）から施行する。</w:t>
      </w:r>
    </w:p>
    <w:p>
      <w:r>
        <w:br w:type="page"/>
      </w:r>
    </w:p>
    <w:p>
      <w:pPr>
        <w:pStyle w:val="Heading1"/>
      </w:pPr>
      <w:r>
        <w:t>附則（平成二七年一月八日経済産業省・環境省令第一号）</w:t>
      </w:r>
    </w:p>
    <w:p>
      <w:r>
        <w:t>この省令は、特定製品に係るフロン類の回収及び破壊の実施の確保等に関する法律の一部を改正する法律の施行の日から施行する。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フロン類の使用の合理化及び管理の適正化に関する法律に係る民間事業者等が行う書面の保存等における情報通信の技術の利用に関する法律施行規則</w:t>
      <w:br/>
      <w:tab/>
      <w:t>（平成十九年経済産業省・環境省令第八号）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フロン類の使用の合理化及び管理の適正化に関する法律に係る民間事業者等が行う書面の保存等における情報通信の技術の利用に関する法律施行規則（平成十九年経済産業省・環境省令第八号）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