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一次産品のための共通基金への加盟に伴う国債の発行等に関する省令</w:t>
        <w:br/>
        <w:t>（平成二年大蔵省令第二十五号）</w:t>
      </w:r>
    </w:p>
    <w:p>
      <w:pPr>
        <w:pStyle w:val="Heading4"/>
      </w:pPr>
      <w:r>
        <w:t>第一条（国債の名称）</w:t>
      </w:r>
    </w:p>
    <w:p>
      <w:r>
        <w:t>一次産品のための共通基金（以下「基金」という。）に出資し又は拠出するため、一次産品のための共通基金への加盟に伴う措置に関する法律（昭和五十六年法律第四十二号。以下「法」という。）第三条第二項の規定により発行する国債は、それぞれ一次産品共通基金通貨代用国庫債券又は一次産品共通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基金に交付する通貨代用国庫債券の額面金額は、出資し又は拠出する都度必要な金額又はその金額を分割した金額とする。</w:t>
      </w:r>
    </w:p>
    <w:p>
      <w:pPr>
        <w:pStyle w:val="Heading4"/>
      </w:pPr>
      <w:r>
        <w:t>第五条（分割及び併合）</w:t>
      </w:r>
    </w:p>
    <w:p>
      <w:r>
        <w:t>政府は、基金の請求があったときは、当該請求に従い通貨代用国庫債券の額面金額の分割又は併合を行うことができる。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基金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基金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基金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pPr>
        <w:pStyle w:val="Heading4"/>
      </w:pPr>
      <w:r>
        <w:t>第九条（国債が返還された場合の措置）</w:t>
      </w:r>
    </w:p>
    <w:p>
      <w:r>
        <w:t>政府は、基金から一次産品共通基金通貨代用国庫債券が返還された場合は、直ちに、これを消却するものとする。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p>
      <w:r>
        <w:br w:type="page"/>
      </w:r>
    </w:p>
    <w:p>
      <w:pPr>
        <w:pStyle w:val="Heading1"/>
      </w:pPr>
      <w:r>
        <w:t>附則（平成二五年七月一〇日財務省令第四九号）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一次産品のための共通基金への加盟に伴う国債の発行等に関する省令</w:t>
      <w:br/>
      <w:tab/>
      <w:t>（平成二年大蔵省令第二十五号）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一次産品のための共通基金への加盟に伴う国債の発行等に関する省令（平成二年大蔵省令第二十五号）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