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一般国道の路線を指定する政令</w:t>
        <w:br/>
        <w:t>（昭和四十年政令第五十八号）</w:t>
      </w:r>
    </w:p>
    <w:p>
      <w:r>
        <w:t>一般国道の路線名、起点、終点及び重要な経過地は、別表のとおりとする。</w:t>
      </w:r>
    </w:p>
    <w:p>
      <w:r>
        <w:br w:type="page"/>
      </w:r>
    </w:p>
    <w:p>
      <w:pPr>
        <w:pStyle w:val="Heading1"/>
      </w:pPr>
      <w:r>
        <w:t>附　則</w:t>
      </w:r>
    </w:p>
    <w:p>
      <w:r>
        <w:t>この政令は、昭和四十年四月一日から施行する。</w:t>
      </w:r>
    </w:p>
    <w:p>
      <w:pPr>
        <w:pStyle w:val="Heading5"/>
        <w:ind w:left="440"/>
      </w:pPr>
      <w:r>
        <w:t>２</w:t>
      </w:r>
    </w:p>
    <w:p>
      <w:pPr>
        <w:ind w:left="440"/>
      </w:pPr>
      <w:r>
        <w:t>次に掲げる政令は、廃止する。</w:t>
      </w:r>
    </w:p>
    <w:p>
      <w:pPr>
        <w:pStyle w:val="Heading6"/>
        <w:ind w:left="880"/>
      </w:pPr>
      <w:r>
        <w:t>一</w:t>
      </w:r>
    </w:p>
    <w:p>
      <w:pPr>
        <w:ind w:left="880"/>
      </w:pPr>
      <w:r>
        <w:t>一級国道の路線を指定する政令（昭和二十七年政令第四百七十七号）</w:t>
      </w:r>
    </w:p>
    <w:p>
      <w:pPr>
        <w:pStyle w:val="Heading6"/>
        <w:ind w:left="880"/>
      </w:pPr>
      <w:r>
        <w:t>二</w:t>
      </w:r>
    </w:p>
    <w:p>
      <w:pPr>
        <w:ind w:left="880"/>
      </w:pPr>
      <w:r>
        <w:t>二級国道の路線を指定する政令（昭和二十八年政令第九十六号）</w:t>
      </w:r>
    </w:p>
    <w:p>
      <w:r>
        <w:br w:type="page"/>
      </w:r>
    </w:p>
    <w:p>
      <w:pPr>
        <w:pStyle w:val="Heading1"/>
      </w:pPr>
      <w:r>
        <w:t>附　則（昭和四四年一二月四日政令第二八〇号）</w:t>
      </w:r>
    </w:p>
    <w:p>
      <w:r>
        <w:t>この政令は、昭和四十五年四月一日から施行する。</w:t>
      </w:r>
    </w:p>
    <w:p>
      <w:r>
        <w:br w:type="page"/>
      </w:r>
    </w:p>
    <w:p>
      <w:pPr>
        <w:pStyle w:val="Heading1"/>
      </w:pPr>
      <w:r>
        <w:t>附　則（昭和四七年四月二八日政令第一一六号）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則（昭和四八年六月八日政令第一五〇号）</w:t>
      </w:r>
    </w:p>
    <w:p>
      <w:r>
        <w:t>この政令は、公布の日から施行する。</w:t>
      </w:r>
    </w:p>
    <w:p>
      <w:r>
        <w:br w:type="page"/>
      </w:r>
    </w:p>
    <w:p>
      <w:pPr>
        <w:pStyle w:val="Heading1"/>
      </w:pPr>
      <w:r>
        <w:t>附　則（昭和四九年一一月一二日政令第三六四号）</w:t>
      </w:r>
    </w:p>
    <w:p>
      <w:r>
        <w:t>この政令は、昭和五十年四月一日から施行する。</w:t>
      </w:r>
    </w:p>
    <w:p>
      <w:r>
        <w:br w:type="page"/>
      </w:r>
    </w:p>
    <w:p>
      <w:pPr>
        <w:pStyle w:val="Heading1"/>
      </w:pPr>
      <w:r>
        <w:t>附　則（昭和五六年四月三〇日政令第一五三号）</w:t>
      </w:r>
    </w:p>
    <w:p>
      <w:r>
        <w:t>この政令は、昭和五十七年四月一日から施行する。</w:t>
      </w:r>
    </w:p>
    <w:p>
      <w:r>
        <w:br w:type="page"/>
      </w:r>
    </w:p>
    <w:p>
      <w:pPr>
        <w:pStyle w:val="Heading1"/>
      </w:pPr>
      <w:r>
        <w:t>附　則（平成四年四月三日政令第一〇四号）</w:t>
      </w:r>
    </w:p>
    <w:p>
      <w:r>
        <w:t>この政令は、平成五年四月一日から施行する。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一般国道の路線を指定する政令</w:t>
      <w:br/>
      <w:tab/>
      <w:t>（昭和四十年政令第五十八号）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一般国道の路線を指定する政令（昭和四十年政令第五十八号）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