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一般社団法人及び一般財団法人に関する法律施行令</w:t>
        <w:br/>
        <w:t>（平成十九年政令第三十八号）</w:t>
      </w:r>
    </w:p>
    <w:p>
      <w:pPr>
        <w:pStyle w:val="Heading4"/>
      </w:pPr>
      <w:r>
        <w:t>第一条（電磁的方法による通知の承諾等）</w:t>
      </w:r>
    </w:p>
    <w:p>
      <w:r>
        <w:t>次に掲げる規定により電磁的方法（一般社団法人及び一般財団法人に関する法律（以下「法」という。）第十四条第二項第四号に規定する電磁的方法をいう。以下同じ。）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法第三十九条第三項</w:t>
      </w:r>
    </w:p>
    <w:p>
      <w:pPr>
        <w:pStyle w:val="Heading6"/>
        <w:ind w:left="880"/>
      </w:pPr>
      <w:r>
        <w:t>二</w:t>
      </w:r>
    </w:p>
    <w:p>
      <w:pPr>
        <w:ind w:left="880"/>
      </w:pPr>
      <w:r>
        <w:t>法第百八十二条第二項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第二条（書面に記載すべき事項等の電磁的方法による提供の承諾等）</w:t>
      </w:r>
    </w:p>
    <w:p>
      <w:r>
        <w:t>次に掲げる規定に規定する事項を電磁的方法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法第五十条第三項</w:t>
      </w:r>
    </w:p>
    <w:p>
      <w:pPr>
        <w:pStyle w:val="Heading6"/>
        <w:ind w:left="880"/>
      </w:pPr>
      <w:r>
        <w:t>二</w:t>
      </w:r>
    </w:p>
    <w:p>
      <w:pPr>
        <w:ind w:left="880"/>
      </w:pPr>
      <w:r>
        <w:t>法第五十二条第一項</w:t>
      </w:r>
    </w:p>
    <w:p>
      <w:pPr>
        <w:pStyle w:val="Heading6"/>
        <w:ind w:left="880"/>
      </w:pPr>
      <w:r>
        <w:t>三</w:t>
      </w:r>
    </w:p>
    <w:p>
      <w:pPr>
        <w:ind w:left="880"/>
      </w:pPr>
      <w:r>
        <w:t>法第百三十三条第三項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一般社団法人及び一般財団法人に関する法律施行令</w:t>
      <w:br/>
      <w:tab/>
      <w:t>（平成十九年政令第三十八号）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一般社団法人及び一般財団法人に関する法律施行令（平成十九年政令第三十八号）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