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不動産登記嘱託職員を指定する府令</w:t>
        <w:br/>
        <w:t>（昭和二十四年法務府令第三十九号）</w:t>
      </w:r>
    </w:p>
    <w:p>
      <w:r>
        <w:t>法務省所管の不動産登記嘱託職員として次の職員を指定する。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不動産登記嘱託官吏指定の件（昭和二十三年法務庁令第二十四号）は廃止する。</w:t>
      </w:r>
    </w:p>
    <w:p>
      <w:r>
        <w:br w:type="page"/>
      </w:r>
    </w:p>
    <w:p>
      <w:pPr>
        <w:pStyle w:val="Heading1"/>
      </w:pPr>
      <w:r>
        <w:t>附　則（昭和二七年八月一日法務省令第七号）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則（昭和三二年一〇月一九日法務省令第四四号）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則（昭和三四年一〇月六日法務省令第五四号）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則（昭和四三年六月一五日法務省令第二九号）</w:t>
      </w:r>
    </w:p>
    <w:p>
      <w:r>
        <w:t>この省令は、昭和四十三年六月十五日から施行する。</w:t>
      </w:r>
    </w:p>
    <w:p>
      <w:r>
        <w:br w:type="page"/>
      </w:r>
    </w:p>
    <w:p>
      <w:pPr>
        <w:pStyle w:val="Heading1"/>
      </w:pPr>
      <w:r>
        <w:t>附　則（昭和五六年四月一日法務省令第一八号）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則（平成九年四月二日法務省令第三〇号）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則（平成一二年一二月二八日法務省令第四六号）</w:t>
      </w:r>
    </w:p>
    <w:p>
      <w:r>
        <w:t>この省令は、平成十三年一月六日から施行する。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不動産登記嘱託職員を指定する府令</w:t>
      <w:br/>
      <w:tab/>
      <w:t>（昭和二十四年法務府令第三十九号）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不動産登記嘱託職員を指定する府令（昭和二十四年法務府令第三十九号）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