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中小企業における労働力の確保及び良好な雇用の機会の創出のための雇用管理の改善の促進に関する法律施行令</w:t>
        <w:br/>
        <w:t>（平成三年政令第二百四十四号）</w:t>
      </w:r>
    </w:p>
    <w:p>
      <w:pPr>
        <w:pStyle w:val="Heading4"/>
      </w:pPr>
      <w:r>
        <w:t>第一条（中小企業者の範囲）</w:t>
      </w:r>
    </w:p>
    <w:p>
      <w:r>
        <w:t>中小企業における労働力の確保及び良好な雇用の機会の創出のための雇用管理の改善の促進に関する法律（以下「法」という。）第二条第一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法第二条第一項第六号の政令で定める組合及び連合会は、次のとおりとする。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生活衛生同業組合であって、そ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六</w:t>
      </w:r>
    </w:p>
    <w:p>
      <w:pPr>
        <w:ind w:left="880"/>
      </w:pPr>
      <w:r>
        <w:t>酒造組合及び酒造組合連合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及び酒販組合連合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七</w:t>
      </w:r>
    </w:p>
    <w:p>
      <w:pPr>
        <w:ind w:left="880"/>
      </w:pPr>
      <w:r>
        <w:t>技術研究組合であって、その直接又は間接の構成員の三分の二以上が法第二条第一項第一号から第五号までに規定する中小企業者であるもの</w:t>
      </w:r>
    </w:p>
    <w:p>
      <w:pPr>
        <w:pStyle w:val="Heading4"/>
      </w:pPr>
      <w:r>
        <w:t>第二条（一般社団法人の要件）</w:t>
      </w:r>
    </w:p>
    <w:p>
      <w:r>
        <w:t>法第二条第二項の政令で定める要件は、当該一般社団法人の直接又は間接の構成員の三分の二以上が同条第一項に規定する中小企業者（以下「中小企業者」という。）であることとする。</w:t>
      </w:r>
    </w:p>
    <w:p>
      <w:pPr>
        <w:pStyle w:val="Heading4"/>
      </w:pPr>
      <w:r>
        <w:t>第三条（保険料率）</w:t>
      </w:r>
    </w:p>
    <w:p>
      <w:r>
        <w:t>法第十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pPr>
        <w:pStyle w:val="Heading4"/>
      </w:pPr>
      <w:r>
        <w:t>第一条（施行期日）</w:t>
      </w:r>
    </w:p>
    <w:p>
      <w:r>
        <w:t>この政令は、法の施行の日（平成三年八月一日）から施行する。</w:t>
      </w:r>
    </w:p>
    <w:p>
      <w:pPr>
        <w:pStyle w:val="Heading4"/>
      </w:pPr>
      <w:r>
        <w:t>第二条（法附則第二条第一号の政令で定める日）</w:t>
      </w:r>
    </w:p>
    <w:p>
      <w:r>
        <w:t>法附則第二条第一号の政令で定める日は、平成十四年三月三十一日とする。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則（平成七年一一月一日政令第三六六号）</w:t>
      </w:r>
    </w:p>
    <w:p>
      <w:r>
        <w:t>この政令は、公布の日から施行する。</w:t>
      </w:r>
    </w:p>
    <w:p>
      <w:r>
        <w:br w:type="page"/>
      </w:r>
    </w:p>
    <w:p>
      <w:pPr>
        <w:pStyle w:val="Heading1"/>
      </w:pPr>
      <w:r>
        <w:t>附　則（平成一〇年一二月二四日政令第四一五号）</w:t>
      </w:r>
    </w:p>
    <w:p>
      <w:r>
        <w:t>この政令は、中小企業における労働力の確保のための雇用管理の改善の促進に関する法律の一部を改正する法律の施行の日（平成十一年一月一日）から施行する。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則（平成一一年一一月一七日政令第三六九号）</w:t>
      </w:r>
    </w:p>
    <w:p>
      <w:pPr>
        <w:pStyle w:val="Heading4"/>
      </w:pPr>
      <w:r>
        <w:t>第一条（施行期日）</w:t>
      </w:r>
    </w:p>
    <w:p>
      <w:r>
        <w:t>この政令は、平成十一年十二月一日から施行する。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中小企業における労働力の確保及び良好な雇用の機会の創出のための雇用管理の改善の促進に関する法律施行令</w:t>
      <w:br/>
      <w:tab/>
      <w:t>（平成三年政令第二百四十四号）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中小企業における労働力の確保及び良好な雇用の機会の創出のための雇用管理の改善の促進に関する法律施行令（平成三年政令第二百四十四号）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