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中小企業による地域産業資源を活用した事業活動の促進に関する法律施行令</w:t>
        <w:br/>
        <w:t>（平成十九年政令第百九十四号）</w:t>
      </w:r>
    </w:p>
    <w:p>
      <w:pPr>
        <w:pStyle w:val="Heading4"/>
      </w:pPr>
      <w:r>
        <w:t>第一条（中小企業者の範囲）</w:t>
      </w:r>
    </w:p>
    <w:p>
      <w:r>
        <w:t>中小企業による地域産業資源を活用した事業活動の促進に関する法律（以下「法」という。）第二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農業協同組合、農業協同組合連合会及び農事組合法人</w:t>
      </w:r>
    </w:p>
    <w:p>
      <w:pPr>
        <w:pStyle w:val="Heading6"/>
        <w:ind w:left="880"/>
      </w:pPr>
      <w:r>
        <w:t>三</w:t>
      </w:r>
    </w:p>
    <w:p>
      <w:pPr>
        <w:ind w:left="880"/>
      </w:pPr>
      <w:r>
        <w:t>漁業協同組合、漁業協同組合連合会、水産加工業協同組合及び水産加工業協同組合連合会</w:t>
      </w:r>
    </w:p>
    <w:p>
      <w:pPr>
        <w:pStyle w:val="Heading6"/>
        <w:ind w:left="880"/>
      </w:pPr>
      <w:r>
        <w:t>四</w:t>
      </w:r>
    </w:p>
    <w:p>
      <w:pPr>
        <w:ind w:left="880"/>
      </w:pPr>
      <w:r>
        <w:t>森林組合及び森林組合連合会</w:t>
      </w:r>
    </w:p>
    <w:p>
      <w:pPr>
        <w:pStyle w:val="Heading6"/>
        <w:ind w:left="880"/>
      </w:pPr>
      <w:r>
        <w:t>五</w:t>
      </w:r>
    </w:p>
    <w:p>
      <w:pPr>
        <w:ind w:left="880"/>
      </w:pPr>
      <w:r>
        <w:t>商工組合及び商工組合連合会</w:t>
      </w:r>
    </w:p>
    <w:p>
      <w:pPr>
        <w:pStyle w:val="Heading6"/>
        <w:ind w:left="880"/>
      </w:pPr>
      <w:r>
        <w:t>六</w:t>
      </w:r>
    </w:p>
    <w:p>
      <w:pPr>
        <w:ind w:left="880"/>
      </w:pPr>
      <w:r>
        <w:t>商店街振興組合及び商店街振興組合連合会</w:t>
      </w:r>
    </w:p>
    <w:p>
      <w:pPr>
        <w:pStyle w:val="Heading6"/>
        <w:ind w:left="880"/>
      </w:pPr>
      <w:r>
        <w:t>七</w:t>
      </w:r>
    </w:p>
    <w:p>
      <w:pPr>
        <w:ind w:left="880"/>
      </w:pPr>
      <w: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八</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6"/>
        <w:ind w:left="880"/>
      </w:pPr>
      <w:r>
        <w:t>九</w:t>
      </w:r>
    </w:p>
    <w:p>
      <w:pPr>
        <w:ind w:left="880"/>
      </w:pPr>
      <w:r>
        <w:t>技術研究組合であって、その直接又は間接の構成員の三分の二以上が法第二条第一項第一号から第七号までに規定する中小企業者であるもの</w:t>
      </w:r>
    </w:p>
    <w:p>
      <w:pPr>
        <w:pStyle w:val="Heading4"/>
      </w:pPr>
      <w:r>
        <w:t>第二条（保険料率）</w:t>
      </w:r>
    </w:p>
    <w:p>
      <w:r>
        <w:t>法第十条第五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同法第三条の四第一項に規定する流動資産担保保険にあっては〇・二九パーセントとする。</w:t>
      </w:r>
    </w:p>
    <w:p>
      <w:pPr>
        <w:pStyle w:val="Heading4"/>
      </w:pPr>
      <w:r>
        <w:t>第三条（商標登録出願等に係る登録料の軽減）</w:t>
      </w:r>
    </w:p>
    <w:p>
      <w:r>
        <w:t>法第十四条第一項の規定により登録料の軽減を受けようとする者は、次に掲げる事項を記載した申請書に、申請に係る地域団体商標の商標登録（商標法（昭和三十四年法律第百二十七号）第七条の二第一項に規定する地域団体商標の商標登録をいう。第二号及び次条第一項において同じ。）が認定計画（法第七条第三項に規定する認定計画をいう。以下この項及び次条第一項において同じ。）に定められた認定地域産業資源活用事業（法第十条第一項に規定する認定地域産業資源活用事業をいう。次条第一項において同じ。）に係る商品又は役務に係るものであることを証する書面及び認定計画の写し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申請に係る地域団体商標の商標登録出願の番号又は登録番号</w:t>
      </w:r>
    </w:p>
    <w:p>
      <w:pPr>
        <w:pStyle w:val="Heading6"/>
        <w:ind w:left="880"/>
      </w:pPr>
      <w:r>
        <w:t>三</w:t>
      </w:r>
    </w:p>
    <w:p>
      <w:pPr>
        <w:ind w:left="880"/>
      </w:pPr>
      <w:r>
        <w:t>登録料の軽減を受けようとする旨</w:t>
      </w:r>
    </w:p>
    <w:p>
      <w:pPr>
        <w:pStyle w:val="Heading5"/>
        <w:ind w:left="440"/>
      </w:pPr>
      <w:r>
        <w:t>２</w:t>
      </w:r>
    </w:p>
    <w:p>
      <w:pPr>
        <w:ind w:left="440"/>
      </w:pPr>
      <w:r>
        <w:t>特許庁長官は、前項の申請書の提出があったときは、商標法第四十条第一項若しくは第二項又は第四十一条の二第一項若しくは第七項の規定により納付すべき登録料の金額の二分の一に相当する額を軽減するものとする。</w:t>
      </w:r>
    </w:p>
    <w:p>
      <w:pPr>
        <w:pStyle w:val="Heading4"/>
      </w:pPr>
      <w:r>
        <w:t>第四条（商標登録出願の手数料の軽減）</w:t>
      </w:r>
    </w:p>
    <w:p>
      <w:r>
        <w:t>法第十四条第二項の規定により商標登録出願の手数料の軽減を受けようとする者は、次に掲げる事項を記載した申請書に、申請に係る地域団体商標の商標登録が認定計画に定められた認定地域産業資源活用事業に係る商品又は役務に係るものであることを証する書面及び認定計画の写し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申請に係る地域団体商標の商標登録出願の表示</w:t>
      </w:r>
    </w:p>
    <w:p>
      <w:pPr>
        <w:pStyle w:val="Heading6"/>
        <w:ind w:left="880"/>
      </w:pPr>
      <w:r>
        <w:t>三</w:t>
      </w:r>
    </w:p>
    <w:p>
      <w:pPr>
        <w:ind w:left="880"/>
      </w:pPr>
      <w:r>
        <w:t>商標登録出願の手数料の軽減を受けようとする旨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四条第二項の表第一号の規定により計算される商標登録出願の手数料の金額の二分の一に相当する額を軽減するものとする。</w:t>
      </w:r>
    </w:p>
    <w:p>
      <w:r>
        <w:br w:type="page"/>
      </w:r>
    </w:p>
    <w:p>
      <w:pPr>
        <w:pStyle w:val="Heading1"/>
      </w:pPr>
      <w:r>
        <w:t>附　則</w:t>
      </w:r>
    </w:p>
    <w:p>
      <w:pPr>
        <w:pStyle w:val="Heading4"/>
      </w:pPr>
      <w:r>
        <w:t>第一条（施行期日）</w:t>
      </w:r>
    </w:p>
    <w:p>
      <w:r>
        <w:t>この政令は、法の施行の日（平成十九年六月二十九日）から施行する。</w:t>
      </w:r>
    </w:p>
    <w:p>
      <w:r>
        <w:br w:type="page"/>
      </w:r>
    </w:p>
    <w:p>
      <w:pPr>
        <w:pStyle w:val="Heading1"/>
      </w:pPr>
      <w:r>
        <w:t>附　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中小企業による地域産業資源を活用した事業活動の促進に関する法律施行令</w:t>
      <w:br/>
      <w:tab/>
      <w:t>（平成十九年政令第百九十四号）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中小企業による地域産業資源を活用した事業活動の促進に関する法律施行令（平成十九年政令第百九十四号）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