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中小企業のものづくり基盤技術の高度化に関する法律施行令</w:t>
        <w:br/>
        <w:t>（平成十八年政令第二百十二号）</w:t>
      </w:r>
    </w:p>
    <w:p>
      <w:pPr>
        <w:pStyle w:val="Heading4"/>
      </w:pPr>
      <w:r>
        <w:t>第一条（中小企業者の範囲）</w:t>
      </w:r>
    </w:p>
    <w:p>
      <w:r>
        <w:t>中小企業のものづくり基盤技術の高度化に関する法律（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技術研究組合であって、その直接又は間接の構成員の三分の二以上が法第二条第一項第一号から第七号までに規定する中小企業者であるもの</w:t>
      </w:r>
    </w:p>
    <w:p>
      <w:pPr>
        <w:pStyle w:val="Heading4"/>
      </w:pPr>
      <w:r>
        <w:t>第二条（保険料率）</w:t>
      </w:r>
    </w:p>
    <w:p>
      <w:r>
        <w:t>法第七条第四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pPr>
        <w:pStyle w:val="Heading4"/>
      </w:pPr>
      <w:r>
        <w:t>第一条（施行期日）</w:t>
      </w:r>
    </w:p>
    <w:p>
      <w:r>
        <w:t>この政令は、法の施行の日（平成十八年六月十三日）から施行する。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中小企業のものづくり基盤技術の高度化に関する法律施行令</w:t>
      <w:br/>
      <w:tab/>
      <w:t>（平成十八年政令第二百十二号）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中小企業のものづくり基盤技術の高度化に関する法律施行令（平成十八年政令第二百十二号）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