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中小企業政策審議会令</w:t>
        <w:br/>
        <w:t>（平成十二年政令第二百九十五号）</w:t>
      </w:r>
    </w:p>
    <w:p>
      <w:pPr>
        <w:pStyle w:val="Heading4"/>
      </w:pPr>
      <w:r>
        <w:t>第一条（組織）</w:t>
      </w:r>
    </w:p>
    <w:p>
      <w:r>
        <w:t>中小企業政策審議会（以下「審議会」という。）に、特別の事項を調査審議させるため必要があるときは、臨時委員を置くことができる。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第二条（臨時委員等の任命）</w:t>
      </w:r>
    </w:p>
    <w:p>
      <w:r>
        <w:t>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幹事は、関係行政機関の職員のうちから、経済産業大臣が任命する。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審議会の庶務は、中小企業庁事業環境部企画課において処理する。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則（平成一五年七月三〇日政令第三三七号）</w:t>
      </w:r>
    </w:p>
    <w:p>
      <w:pPr>
        <w:pStyle w:val="Heading4"/>
      </w:pPr>
      <w:r>
        <w:t>第一条（施行期日）</w:t>
      </w:r>
    </w:p>
    <w:p>
      <w:r>
        <w:t>この政令は、下請中小企業振興法の一部を改正する法律（平成十五年法律第八十六号）の施行の日（平成十五年十一月一日）から施行する。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　則（平成一八年六月八日政令第二一二号）</w:t>
      </w:r>
    </w:p>
    <w:p>
      <w:pPr>
        <w:pStyle w:val="Heading4"/>
      </w:pPr>
      <w:r>
        <w:t>第一条（施行期日）</w:t>
      </w:r>
    </w:p>
    <w:p>
      <w:r>
        <w:t>この政令は、法の施行の日（平成十八年六月十三日）から施行する。</w:t>
      </w:r>
    </w:p>
    <w:p>
      <w:r>
        <w:br w:type="page"/>
      </w:r>
    </w:p>
    <w:p>
      <w:pPr>
        <w:pStyle w:val="Heading1"/>
      </w:pPr>
      <w:r>
        <w:t>附　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　則（平成一九年六月二七日政令第一九四号）</w:t>
      </w:r>
    </w:p>
    <w:p>
      <w:pPr>
        <w:pStyle w:val="Heading4"/>
      </w:pPr>
      <w:r>
        <w:t>第一条（施行期日）</w:t>
      </w:r>
    </w:p>
    <w:p>
      <w:r>
        <w:t>この政令は、法の施行の日（平成十九年六月二十九日）から施行する。</w:t>
      </w:r>
    </w:p>
    <w:p>
      <w:r>
        <w:br w:type="page"/>
      </w:r>
    </w:p>
    <w:p>
      <w:pPr>
        <w:pStyle w:val="Heading1"/>
      </w:pPr>
      <w:r>
        <w:t>附　則（平成二〇年七月一八日政令第二三四号）</w:t>
      </w:r>
    </w:p>
    <w:p>
      <w:pPr>
        <w:pStyle w:val="Heading4"/>
      </w:pPr>
      <w:r>
        <w:t>第一条（施行期日）</w:t>
      </w:r>
    </w:p>
    <w:p>
      <w:r>
        <w:t>この政令は、法の施行の日（平成二十年七月二十一日）から施行する。</w:t>
      </w:r>
    </w:p>
    <w:p>
      <w:r>
        <w:br w:type="page"/>
      </w:r>
    </w:p>
    <w:p>
      <w:pPr>
        <w:pStyle w:val="Heading1"/>
      </w:pPr>
      <w:r>
        <w:t>附　則（平成二一年七月三一日政令第一九六号）</w:t>
      </w:r>
    </w:p>
    <w:p>
      <w:pPr>
        <w:pStyle w:val="Heading4"/>
      </w:pPr>
      <w:r>
        <w:t>第一条（施行期日）</w:t>
      </w:r>
    </w:p>
    <w:p>
      <w:r>
        <w:t>この政令は、法の施行の日（平成二十一年八月一日）から施行する。</w:t>
      </w:r>
    </w:p>
    <w:p>
      <w:r>
        <w:br w:type="page"/>
      </w:r>
    </w:p>
    <w:p>
      <w:pPr>
        <w:pStyle w:val="Heading1"/>
      </w:pPr>
      <w:r>
        <w:t>附　則（平成二五年六月二八日政令第二〇五号）</w:t>
      </w:r>
    </w:p>
    <w:p>
      <w:r>
        <w:t>この政令は、平成二十五年七月一日から施行する。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中小企業政策審議会令</w:t>
      <w:br/>
      <w:tab/>
      <w:t>（平成十二年政令第二百九十五号）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中小企業政策審議会令（平成十二年政令第二百九十五号）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