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中小企業者と農林漁業者との連携による事業活動の促進に関する法律施行令</w:t>
        <w:br/>
        <w:t>（平成二十年政令第二百三十四号）</w:t>
      </w:r>
    </w:p>
    <w:p>
      <w:pPr>
        <w:pStyle w:val="Heading4"/>
      </w:pPr>
      <w:r>
        <w:t>第一条（中小企業者の範囲）</w:t>
      </w:r>
    </w:p>
    <w:p>
      <w:r>
        <w:t>中小企業者と農林漁業者との連携による事業活動の促進に関する法律（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農業協同組合、農業協同組合連合会及び農事組合法人</w:t>
      </w:r>
    </w:p>
    <w:p>
      <w:pPr>
        <w:pStyle w:val="ListBullet"/>
        <w:ind w:left="880"/>
      </w:pPr>
      <w:r>
        <w:t>三</w:t>
        <w:br/>
        <w:t>漁業協同組合、漁業協同組合連合会、水産加工業協同組合及び水産加工業協同組合連合会</w:t>
      </w:r>
    </w:p>
    <w:p>
      <w:pPr>
        <w:pStyle w:val="ListBullet"/>
        <w:ind w:left="880"/>
      </w:pPr>
      <w:r>
        <w:t>四</w:t>
        <w:br/>
        <w:t>森林組合及び森林組合連合会</w:t>
      </w:r>
    </w:p>
    <w:p>
      <w:pPr>
        <w:pStyle w:val="ListBullet"/>
        <w:ind w:left="880"/>
      </w:pPr>
      <w:r>
        <w:t>五</w:t>
        <w:br/>
        <w:t>商工組合及び商工組合連合会</w:t>
      </w:r>
    </w:p>
    <w:p>
      <w:pPr>
        <w:pStyle w:val="ListBullet"/>
        <w:ind w:left="880"/>
      </w:pPr>
      <w:r>
        <w:t>六</w:t>
        <w:br/>
        <w:t>商店街振興組合及び商店街振興組合連合会</w:t>
      </w:r>
    </w:p>
    <w:p>
      <w:pPr>
        <w:pStyle w:val="ListBullet"/>
        <w:ind w:left="880"/>
      </w:pPr>
      <w:r>
        <w:t>七</w:t>
        <w:br/>
        <w:t>消費生活協同組合及び消費生活協同組合連合会</w:t>
      </w:r>
    </w:p>
    <w:p>
      <w:pPr>
        <w:pStyle w:val="ListBullet"/>
        <w:ind w:left="880"/>
      </w:pPr>
      <w:r>
        <w:t>八</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九</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4"/>
      </w:pPr>
      <w:r>
        <w:t>第二条（農商工等連携事業関連保証に係る保険料率）</w:t>
      </w:r>
    </w:p>
    <w:p>
      <w:r>
        <w:t>法第八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同法第三条の四第一項に規定する流動資産担保保険にあっては〇・二九パーセントとする。</w:t>
      </w:r>
    </w:p>
    <w:p>
      <w:pPr>
        <w:pStyle w:val="Heading4"/>
      </w:pPr>
      <w:r>
        <w:t>第三条（林業・木材産業改善資金の特例の償還期間及び据置期間）</w:t>
      </w:r>
    </w:p>
    <w:p>
      <w:r>
        <w:t>法第十三条第二項の政令で定める期間は、十二年以内とする。</w:t>
      </w:r>
    </w:p>
    <w:p>
      <w:pPr>
        <w:pStyle w:val="Heading5"/>
        <w:ind w:left="440"/>
      </w:pPr>
      <w:r>
        <w:t>２</w:t>
      </w:r>
    </w:p>
    <w:p>
      <w:pPr>
        <w:ind w:left="440"/>
      </w:pPr>
      <w:r>
        <w:t>法第十三条第三項の政令で定める期間は、五年以内とする。</w:t>
      </w:r>
    </w:p>
    <w:p>
      <w:pPr>
        <w:pStyle w:val="Heading5"/>
        <w:ind w:left="440"/>
      </w:pPr>
      <w:r>
        <w:t>３</w:t>
      </w:r>
    </w:p>
    <w:p>
      <w:pPr>
        <w:ind w:left="440"/>
      </w:pPr>
      <w:r>
        <w:t>法第十三条第二項に規定する資金に係る都道府県貸付金（林業・木材産業改善資金助成法施行令（昭和五十一年政令第百三十一号）第七条第一項に規定する都道府県貸付金をいう。）についての同令第七条第一項第一号の規定の適用については、同号中「四年」とあるのは、「六年」とする。</w:t>
      </w:r>
    </w:p>
    <w:p>
      <w:pPr>
        <w:pStyle w:val="Heading4"/>
      </w:pPr>
      <w:r>
        <w:t>第四条（沿岸漁業改善資金助成法の特例）</w:t>
      </w:r>
    </w:p>
    <w:p>
      <w:r>
        <w:t>法第十四条第一項の政令で定める資金は、次の表の上欄に掲げるとおりとし、同項の沿岸漁業改善資金助成法（昭和五十四年法律第二十五号）第二条第二項の経営等改善資金のうち政令で定める種類の資金は、同表の上欄に掲げる資金ごとにそれぞれ同表の下欄に掲げるとおりとする。</w:t>
      </w:r>
    </w:p>
    <w:p>
      <w:pPr>
        <w:pStyle w:val="Heading5"/>
        <w:ind w:left="440"/>
      </w:pPr>
      <w:r>
        <w:t>２</w:t>
      </w:r>
    </w:p>
    <w:p>
      <w:pPr>
        <w:ind w:left="440"/>
      </w:pPr>
      <w:r>
        <w:t>法第十四条第二項の政令で定める種類の資金は、次の表の上欄に掲げるとおりとし、当該資金に係る同項の政令で定める期間及び同条第三項の政令で定める期間は、当該資金の種類に応じ、それぞれ同表の中欄及び下欄に掲げるとおりとする。</w:t>
      </w:r>
    </w:p>
    <w:p>
      <w:r>
        <w:br w:type="page"/>
      </w:r>
    </w:p>
    <w:p>
      <w:pPr>
        <w:pStyle w:val="Heading1"/>
      </w:pPr>
      <w:r>
        <w:t>附　則</w:t>
      </w:r>
    </w:p>
    <w:p>
      <w:pPr>
        <w:pStyle w:val="Heading4"/>
      </w:pPr>
      <w:r>
        <w:t>第一条（施行期日）</w:t>
      </w:r>
    </w:p>
    <w:p>
      <w:r>
        <w:t>この政令は、法の施行の日（平成二十年七月二十一日）から施行する。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中小企業者と農林漁業者との連携による事業活動の促進に関する法律施行令</w:t>
      <w:br/>
      <w:tab/>
      <w:t>（平成二十年政令第二百三十四号）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中小企業者と農林漁業者との連携による事業活動の促進に関する法律施行令（平成二十年政令第二百三十四号）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