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中小企業者等に対する金融の円滑化を図るための臨時措置に関する法律に係る民間事業者等が行う書面の保存等における情報通信の技術の利用に関する命令</w:t>
        <w:br/>
        <w:t>（平成二十一年内閣府・厚生労働省・農林水産省令第一号）</w:t>
      </w:r>
    </w:p>
    <w:p>
      <w:pPr>
        <w:pStyle w:val="Heading4"/>
      </w:pPr>
      <w:r>
        <w:t>第一条（趣旨）</w:t>
      </w:r>
    </w:p>
    <w:p>
      <w:r>
        <w:t>民間事業者等が、中小企業者等に対する金融の円滑化を図るための臨時措置に関する法律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法第三条第一項の主務省令で定める保存は、中小企業者等に対する金融の円滑化を図るための臨時措置に関する法律第七条第一項の規定に基づく書面の保存とする。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前条の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中小企業者等に対する金融の円滑化を図るための臨時措置に関する法律第七条第一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第五条（法第五条第一項の主務省令で定める縦覧等）</w:t>
      </w:r>
    </w:p>
    <w:p>
      <w:r>
        <w:t>法第五条第一項の主務省令で定める縦覧等は、中小企業者等に対する金融の円滑化を図るための臨時措置に関する法律第七条第一項の規定に基づく書面の縦覧等とする。</w:t>
      </w:r>
    </w:p>
    <w:p>
      <w:pPr>
        <w:pStyle w:val="Heading4"/>
      </w:pPr>
      <w:r>
        <w:t>第六条（電磁的記録による縦覧等）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r>
        <w:br w:type="page"/>
      </w:r>
    </w:p>
    <w:p>
      <w:pPr>
        <w:pStyle w:val="Heading1"/>
      </w:pPr>
      <w:r>
        <w:t>附　則</w:t>
      </w:r>
    </w:p>
    <w:p>
      <w:r>
        <w:t>この命令は、中小企業者等に対する金融の円滑化を図るための臨時措置に関する法律の施行の日（平成二十一年十二月四日）から施行する。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中小企業者等に対する金融の円滑化を図るための臨時措置に関する法律に係る民間事業者等が行う書面の保存等における情報通信の技術の利用に関する命令</w:t>
      <w:br/>
      <w:tab/>
      <w:t>（平成二十一年内閣府・厚生労働省・農林水産省令第一号）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等に対する金融の円滑化を図るための臨時措置に関する法律に係る民間事業者等が行う書面の保存等における情報通信の技術の利用に関する命令（平成二十一年内閣府・厚生労働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