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中小企業者等に対する金融の円滑化を図るための臨時措置に関する法律に係る民間事業者等が行う書面の保存等における情報通信の技術の利用に関する命令</w:t>
        <w:br/>
        <w:t>（平成二十一年内閣府・厚生労働省・農林水産省令第一号）</w:t>
      </w:r>
    </w:p>
    <w:p>
      <w:pPr>
        <w:pStyle w:val="Heading4"/>
      </w:pPr>
      <w:r>
        <w:t>第一条（趣旨）</w:t>
      </w:r>
    </w:p>
    <w:p>
      <w:r>
        <w:t>民間事業者等が、中小企業者等に対する金融の円滑化を図るための臨時措置に関する法律に係る保存等を、電磁的記録を使用して行う場合については、他の法律及び法律に基づく命令（告示を含む。）に特別の定めのある場合を除くほか、この命令の定めるところによる。</w:t>
      </w:r>
    </w:p>
    <w:p>
      <w:pPr>
        <w:pStyle w:val="Heading4"/>
      </w:pPr>
      <w:r>
        <w:t>第二条（定義）</w:t>
      </w:r>
    </w:p>
    <w:p>
      <w:r>
        <w:t>この命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法第三条第一項の主務省令で定める保存は、中小企業者等に対する金融の円滑化を図るための臨時措置に関する法律第七条第一項の規定に基づく書面の保存とする。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き、前条の規定に基づく書面の保存に代えて当該書面に係る電磁的記録の保存を行う場合は、必要に応じて電磁的記録に記録されている事項について、電子計算機の映像面への表示及び書面への出力ができるようにするための措置を講じなければならない。</w:t>
      </w:r>
    </w:p>
    <w:p>
      <w:pPr>
        <w:pStyle w:val="Heading5"/>
        <w:ind w:left="440"/>
      </w:pPr>
      <w:r>
        <w:t>３</w:t>
      </w:r>
    </w:p>
    <w:p>
      <w:pPr>
        <w:ind w:left="440"/>
      </w:pPr>
      <w:r>
        <w:t>中小企業者等に対する金融の円滑化を図るための臨時措置に関する法律第七条第一項の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について、他の事務所等に備え付けた電子計算機の映像面への表示及び書面への出力ができるようにするための措置を講じた場合は、当該他の事務所等に当該書面の保存が行われたものとみなす。</w:t>
      </w:r>
    </w:p>
    <w:p>
      <w:pPr>
        <w:pStyle w:val="Heading4"/>
      </w:pPr>
      <w:r>
        <w:t>第五条（法第五条第一項の主務省令で定める縦覧等）</w:t>
      </w:r>
    </w:p>
    <w:p>
      <w:r>
        <w:t>法第五条第一項の主務省令で定める縦覧等は、中小企業者等に対する金融の円滑化を図るための臨時措置に関する法律第七条第一項の規定に基づく書面の縦覧等とする。</w:t>
      </w:r>
    </w:p>
    <w:p>
      <w:pPr>
        <w:pStyle w:val="Heading4"/>
      </w:pPr>
      <w:r>
        <w:t>第六条（電磁的記録による縦覧等）</w:t>
      </w:r>
    </w:p>
    <w:p>
      <w:r>
        <w:t>民間事業者等が、法第五条第一項の規定に基づき、前条に規定する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r>
        <w:br w:type="page"/>
      </w:r>
    </w:p>
    <w:p>
      <w:pPr>
        <w:pStyle w:val="Heading1"/>
      </w:pPr>
      <w:r>
        <w:t>附　則</w:t>
      </w:r>
    </w:p>
    <w:p>
      <w:r>
        <w:t>この命令は、中小企業者等に対する金融の円滑化を図るための臨時措置に関する法律の施行の日（平成二十一年十二月四日）から施行する。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中小企業者等に対する金融の円滑化を図るための臨時措置に関する法律に係る民間事業者等が行う書面の保存等における情報通信の技術の利用に関する命令</w:t>
      <w:br/>
      <w:tab/>
      <w:t>（平成二十一年内閣府・厚生労働省・農林水産省令第一号）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者等に対する金融の円滑化を図るための臨時措置に関する法律に係る民間事業者等が行う書面の保存等における情報通信の技術の利用に関する命令（平成二十一年内閣府・厚生労働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