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交通政策審議会令</w:t>
        <w:br/>
        <w:t>（平成十二年政令第三百号）</w:t>
      </w:r>
    </w:p>
    <w:p>
      <w:pPr>
        <w:pStyle w:val="Heading4"/>
      </w:pPr>
      <w:r>
        <w:t>第一条（所掌事務）</w:t>
      </w:r>
    </w:p>
    <w:p>
      <w:r>
        <w:t>交通政策審議会（以下「審議会」という。）は、国土交通省設置法第十四条第一項に規定するもののほか、陸上交通事業調整法（昭和十三年法律第七十一号）及びエネルギーの使用の合理化等に関する法律（昭和五十四年法律第四十九号）の規定に基づきその権限に属させられた事項を処理する。</w:t>
      </w:r>
    </w:p>
    <w:p>
      <w:pPr>
        <w:pStyle w:val="Heading4"/>
      </w:pPr>
      <w:r>
        <w:t>第二条（組織）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委員及び臨時委員は、学識経験のある者のうちから、国土交通大臣が任命する。</w:t>
      </w:r>
    </w:p>
    <w:p>
      <w:pPr>
        <w:pStyle w:val="Heading5"/>
        <w:ind w:left="440"/>
      </w:pPr>
      <w:r>
        <w:t>２</w:t>
      </w:r>
    </w:p>
    <w:p>
      <w:pPr>
        <w:ind w:left="440"/>
      </w:pPr>
      <w:r>
        <w:t>専門委員は、当該専門の事項に関し学識経験のある者のうちから、国土交通大臣が任命する。</w:t>
      </w:r>
    </w:p>
    <w:p>
      <w:pPr>
        <w:pStyle w:val="Heading4"/>
      </w:pPr>
      <w:r>
        <w:t>第四条（委員の任期等）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前項の表の上欄に掲げる分科会に属すべき委員、臨時委員及び専門委員は、国土交通大臣が指名する。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第七条（部会）</w:t>
      </w:r>
    </w:p>
    <w:p>
      <w:r>
        <w:t>分科会は、その定めるところにより、部会を置くことができる。</w:t>
      </w:r>
    </w:p>
    <w:p>
      <w:pPr>
        <w:pStyle w:val="Heading5"/>
        <w:ind w:left="440"/>
      </w:pPr>
      <w:r>
        <w:t>２</w:t>
      </w:r>
    </w:p>
    <w:p>
      <w:pPr>
        <w:ind w:left="440"/>
      </w:pPr>
      <w:r>
        <w:t>部会に属すべき委員、臨時委員及び専門委員は、分科会長が指名する。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分科会は、その定めるところにより、部会の議決をもって分科会の議決とすることができる。</w:t>
      </w:r>
    </w:p>
    <w:p>
      <w:pPr>
        <w:pStyle w:val="Heading4"/>
      </w:pPr>
      <w:r>
        <w:t>第八条（議事）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第九条（庶務）</w:t>
      </w:r>
    </w:p>
    <w:p>
      <w:r>
        <w:t>審議会の庶務は、国土交通省総合政策局総務課において総括し、及び処理する。</w:t>
      </w:r>
    </w:p>
    <w:p>
      <w:pPr>
        <w:pStyle w:val="Heading5"/>
        <w:ind w:left="440"/>
      </w:pPr>
      <w:r>
        <w:t>２</w:t>
      </w:r>
    </w:p>
    <w:p>
      <w:pPr>
        <w:ind w:left="440"/>
      </w:pPr>
      <w:r>
        <w:t>交通体系分科会の庶務は、国土交通省総合政策局交通政策課において処理する。</w:t>
      </w:r>
    </w:p>
    <w:p>
      <w:pPr>
        <w:pStyle w:val="Heading5"/>
        <w:ind w:left="440"/>
      </w:pPr>
      <w:r>
        <w:t>３</w:t>
      </w:r>
    </w:p>
    <w:p>
      <w:pPr>
        <w:ind w:left="440"/>
      </w:pPr>
      <w:r>
        <w:t>技術分科会の庶務は、国土交通省総合政策局技術政策課において処理する。</w:t>
      </w:r>
    </w:p>
    <w:p>
      <w:pPr>
        <w:pStyle w:val="Heading5"/>
        <w:ind w:left="440"/>
      </w:pPr>
      <w:r>
        <w:t>４</w:t>
      </w:r>
    </w:p>
    <w:p>
      <w:pPr>
        <w:ind w:left="440"/>
      </w:pPr>
      <w:r>
        <w:t>観光分科会の庶務は、観光庁総務課において処理する。</w:t>
      </w:r>
    </w:p>
    <w:p>
      <w:pPr>
        <w:pStyle w:val="Heading5"/>
        <w:ind w:left="440"/>
      </w:pPr>
      <w:r>
        <w:t>５</w:t>
      </w:r>
    </w:p>
    <w:p>
      <w:pPr>
        <w:ind w:left="440"/>
      </w:pPr>
      <w:r>
        <w:t>陸上交通分科会の庶務は、国土交通省鉄道局総務課において総括し、及び処理する。</w:t>
      </w:r>
    </w:p>
    <w:p>
      <w:pPr>
        <w:pStyle w:val="Heading5"/>
        <w:ind w:left="440"/>
      </w:pPr>
      <w:r>
        <w:t>６</w:t>
      </w:r>
    </w:p>
    <w:p>
      <w:pPr>
        <w:ind w:left="440"/>
      </w:pPr>
      <w:r>
        <w:t>海事分科会の庶務は、国土交通省海事局総務課において処理する。</w:t>
      </w:r>
    </w:p>
    <w:p>
      <w:pPr>
        <w:pStyle w:val="Heading5"/>
        <w:ind w:left="440"/>
      </w:pPr>
      <w:r>
        <w:t>７</w:t>
      </w:r>
    </w:p>
    <w:p>
      <w:pPr>
        <w:ind w:left="440"/>
      </w:pPr>
      <w:r>
        <w:t>港湾分科会の庶務は、国土交通省港湾局総務課において処理する。</w:t>
      </w:r>
    </w:p>
    <w:p>
      <w:pPr>
        <w:pStyle w:val="Heading5"/>
        <w:ind w:left="440"/>
      </w:pPr>
      <w:r>
        <w:t>８</w:t>
      </w:r>
    </w:p>
    <w:p>
      <w:pPr>
        <w:ind w:left="440"/>
      </w:pPr>
      <w:r>
        <w:t>航空分科会の庶務は、国土交通省航空局総務課において処理する。</w:t>
      </w:r>
    </w:p>
    <w:p>
      <w:pPr>
        <w:pStyle w:val="Heading5"/>
        <w:ind w:left="440"/>
      </w:pPr>
      <w:r>
        <w:t>９</w:t>
      </w:r>
    </w:p>
    <w:p>
      <w:pPr>
        <w:ind w:left="440"/>
      </w:pPr>
      <w:r>
        <w:t>気象分科会の庶務は、気象庁総務部において処理する。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この政令は、平成十三年一月六日から施行する。</w:t>
      </w:r>
    </w:p>
    <w:p>
      <w:r>
        <w:br w:type="page"/>
      </w:r>
    </w:p>
    <w:p>
      <w:pPr>
        <w:pStyle w:val="Heading1"/>
      </w:pPr>
      <w:r>
        <w:t>附　則（平成一二年一一月一五日政令第四七四号）</w:t>
      </w:r>
    </w:p>
    <w:p>
      <w:r>
        <w:t>この政令は、平成十三年三月一日から施行する。</w:t>
      </w:r>
    </w:p>
    <w:p>
      <w:r>
        <w:br w:type="page"/>
      </w:r>
    </w:p>
    <w:p>
      <w:pPr>
        <w:pStyle w:val="Heading1"/>
      </w:pPr>
      <w:r>
        <w:t>附　則（平成一四年四月一日政令第一三六号）</w:t>
      </w:r>
    </w:p>
    <w:p>
      <w:r>
        <w:t>この政令は、公布の日から施行する。</w:t>
      </w:r>
    </w:p>
    <w:p>
      <w:r>
        <w:br w:type="page"/>
      </w:r>
    </w:p>
    <w:p>
      <w:pPr>
        <w:pStyle w:val="Heading1"/>
      </w:pPr>
      <w:r>
        <w:t>附　則（平成一四年一一月二七日政令第三四五号）</w:t>
      </w:r>
    </w:p>
    <w:p>
      <w:pPr>
        <w:pStyle w:val="Heading4"/>
      </w:pPr>
      <w:r>
        <w:t>第一条（施行期日）</w:t>
      </w:r>
    </w:p>
    <w:p>
      <w:r>
        <w:t>この政令は、船舶職員法の一部を改正する法律の施行の日（平成十五年六月一日）から施行する。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則（平成一六年四月一日政令第一三二号）</w:t>
      </w:r>
    </w:p>
    <w:p>
      <w:pPr>
        <w:pStyle w:val="Heading4"/>
      </w:pPr>
      <w:r>
        <w:t>第一条（施行期日）</w:t>
      </w:r>
    </w:p>
    <w:p>
      <w:r>
        <w:t>この政令は、公布の日から施行する。</w:t>
      </w:r>
    </w:p>
    <w:p>
      <w:pPr>
        <w:pStyle w:val="Heading6"/>
        <w:ind w:left="880"/>
      </w:pPr>
      <w:r>
        <w:t>一</w:t>
      </w:r>
    </w:p>
    <w:p>
      <w:pPr>
        <w:ind w:left="880"/>
      </w:pPr>
      <w:r>
        <w:t>第一条中国土交通省組織令第二条、第四条、第十九条から第二十一条まで、第二十二条第一項、第二十三条から第二十五条まで、第三十六条、第三十七条及び第五十一条から第五十三条までの改正規定、同令第五十四条を削る改正規定、同令第五十五条の改正規定、同条を同令第五十四条とする改正規定、同令第五十六条の改正規定、同条を同令第五十五条とする改正規定、同令第五十七条の改正規定、同条を同令第五十六条とする改正規定、同令第五十八条の改正規定、同条を同令第五十七条とし、同条の次に一条を加える改正規定、同令第百四十条から第百四十八条まで、第百五十一条、第百六十四条、第百六十八条、第百八十二条及び第百八十三条の改正規定、同令第百八十四条を削り、同令第百八十五条を同令第百八十四条とし、同令第百八十六条から第百八十八条までを一条ずつ繰り上げ、同令第百八十九条を同令第百八十八条とし、同令第一章第二節第三款第十四目中同条の次に一条を加える改正規定並びに同令第二百二十一条から第二百二十三条まで及び附則第二十五条の改正規定、第三条中国土交通省独立行政法人評価委員会令第九条の表北海道開発土木研究所分科会の項及び国際観光振興機構分科会の項の改正規定、次条並びに附則第三条の規定</w:t>
      </w:r>
    </w:p>
    <w:p>
      <w:r>
        <w:br w:type="page"/>
      </w:r>
    </w:p>
    <w:p>
      <w:pPr>
        <w:pStyle w:val="Heading1"/>
      </w:pPr>
      <w:r>
        <w:t>附　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　則（平成一八年三月一七日政令第四四号）</w:t>
      </w:r>
    </w:p>
    <w:p>
      <w:pPr>
        <w:pStyle w:val="Heading4"/>
      </w:pPr>
      <w:r>
        <w:t>第一条（施行期日）</w:t>
      </w:r>
    </w:p>
    <w:p>
      <w:r>
        <w:t>この政令は、平成十八年四月一日から施行する。</w:t>
      </w:r>
    </w:p>
    <w:p>
      <w:r>
        <w:br w:type="page"/>
      </w:r>
    </w:p>
    <w:p>
      <w:pPr>
        <w:pStyle w:val="Heading1"/>
      </w:pPr>
      <w:r>
        <w:t>附　則（平成一八年三月三一日政令第一一七号）</w:t>
      </w:r>
    </w:p>
    <w:p>
      <w:r>
        <w:t>この政令は、平成十八年四月一日から施行する。</w:t>
      </w:r>
    </w:p>
    <w:p>
      <w:pPr>
        <w:pStyle w:val="Heading6"/>
        <w:ind w:left="880"/>
      </w:pPr>
      <w:r>
        <w:t>一</w:t>
      </w:r>
    </w:p>
    <w:p>
      <w:pPr>
        <w:ind w:left="880"/>
      </w:pPr>
      <w:r>
        <w:t>略</w:t>
      </w:r>
    </w:p>
    <w:p>
      <w:pPr>
        <w:pStyle w:val="Heading6"/>
        <w:ind w:left="880"/>
      </w:pPr>
      <w:r>
        <w:t>二</w:t>
      </w:r>
    </w:p>
    <w:p>
      <w:pPr>
        <w:ind w:left="880"/>
      </w:pPr>
      <w:r>
        <w:t>第二条中交通政策審議会令第九条第四項の改正規定</w:t>
      </w:r>
    </w:p>
    <w:p>
      <w:r>
        <w:br w:type="page"/>
      </w:r>
    </w:p>
    <w:p>
      <w:pPr>
        <w:pStyle w:val="Heading1"/>
      </w:pPr>
      <w:r>
        <w:t>附　則（平成一八年一二月二七日政令第四〇四号）</w:t>
      </w:r>
    </w:p>
    <w:p>
      <w:r>
        <w:t>この政令は、平成十九年一月一日から施行する。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則（平成二〇年七月一六日政令第二三〇号）</w:t>
      </w:r>
    </w:p>
    <w:p>
      <w:r>
        <w:t>この政令は、海上運送法及び船員法の一部を改正する法律（以下「改正法」という。）の施行の日（平成二十年七月十七日）から施行する。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p>
      <w:r>
        <w:br w:type="page"/>
      </w:r>
    </w:p>
    <w:p>
      <w:pPr>
        <w:pStyle w:val="Heading1"/>
      </w:pPr>
      <w:r>
        <w:t>附　則（平成二一年三月一八日政令第四〇号）</w:t>
      </w:r>
    </w:p>
    <w:p>
      <w:r>
        <w:t>この政令は、平成二十二年四月一日から施行する。</w:t>
      </w:r>
    </w:p>
    <w:p>
      <w:r>
        <w:br w:type="page"/>
      </w:r>
    </w:p>
    <w:p>
      <w:pPr>
        <w:pStyle w:val="Heading1"/>
      </w:pPr>
      <w:r>
        <w:t>附　則（平成二三年七月一日政令第二〇三号）</w:t>
      </w:r>
    </w:p>
    <w:p>
      <w:pPr>
        <w:pStyle w:val="Heading4"/>
      </w:pPr>
      <w:r>
        <w:t>第一条（施行期日）</w:t>
      </w:r>
    </w:p>
    <w:p>
      <w:r>
        <w:t>この政令は、公布の日から施行する。</w:t>
      </w:r>
    </w:p>
    <w:p>
      <w:r>
        <w:br w:type="page"/>
      </w:r>
    </w:p>
    <w:p>
      <w:pPr>
        <w:pStyle w:val="Heading1"/>
      </w:pPr>
      <w:r>
        <w:t>附　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　則（平成二五年一二月四日政令第三二七号）</w:t>
      </w:r>
    </w:p>
    <w:p>
      <w:r>
        <w:t>この政令は、交通政策基本法（平成二十五年法律第九十二号）の施行の日から施行する。</w:t>
      </w:r>
    </w:p>
    <w:p>
      <w:r>
        <w:br w:type="page"/>
      </w:r>
    </w:p>
    <w:p>
      <w:pPr>
        <w:pStyle w:val="Heading1"/>
      </w:pPr>
      <w:r>
        <w:t>附　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　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　則（平成二七年九月三〇日政令第三五二号）</w:t>
      </w:r>
    </w:p>
    <w:p>
      <w:r>
        <w:t>この政令は、平成二十七年十月一日から施行する。</w:t>
      </w:r>
    </w:p>
    <w:p>
      <w:r>
        <w:br w:type="page"/>
      </w:r>
    </w:p>
    <w:p>
      <w:pPr>
        <w:pStyle w:val="Heading1"/>
      </w:pPr>
      <w:r>
        <w:t>附　則（平成二八年三月二五日政令第七七号）</w:t>
      </w:r>
    </w:p>
    <w:p>
      <w:r>
        <w:t>この政令は、平成二十八年四月一日から施行する。</w:t>
      </w:r>
    </w:p>
    <w:p>
      <w:r>
        <w:br w:type="page"/>
      </w:r>
    </w:p>
    <w:p>
      <w:pPr>
        <w:pStyle w:val="Heading1"/>
      </w:pPr>
      <w:r>
        <w:t>附　則（平成二九年三月三一日政令第一二三号）</w:t>
      </w:r>
    </w:p>
    <w:p>
      <w:r>
        <w:t>この政令は、平成二十九年四月一日から施行する。</w:t>
      </w:r>
    </w:p>
    <w:p>
      <w:r>
        <w:br w:type="page"/>
      </w:r>
    </w:p>
    <w:p>
      <w:pPr>
        <w:pStyle w:val="Heading1"/>
      </w:pPr>
      <w:r>
        <w:t>附　則（平成三〇年一一月三〇日政令第三二九号）</w:t>
      </w:r>
    </w:p>
    <w:p>
      <w:r>
        <w:t>この政令は、エネルギーの使用の合理化等に関する法律の一部を改正する法律の施行の日（平成三十年十二月一日）から施行する。</w:t>
      </w:r>
    </w:p>
    <w:p>
      <w:r>
        <w:br w:type="page"/>
      </w:r>
    </w:p>
    <w:p>
      <w:pPr>
        <w:pStyle w:val="Heading1"/>
      </w:pPr>
      <w:r>
        <w:t>附　則（令和元年六月二八日政令第四五号）</w:t>
      </w:r>
    </w:p>
    <w:p>
      <w:r>
        <w:t>この政令は、令和元年七月一日から施行する。</w:t>
      </w:r>
    </w:p>
    <w:p>
      <w:r>
        <w:br w:type="page"/>
      </w:r>
    </w:p>
    <w:p>
      <w:pPr>
        <w:pStyle w:val="Heading1"/>
      </w:pPr>
      <w:r>
        <w:t>附　則（令和元年一二月二六日政令第二一一号）</w:t>
      </w:r>
    </w:p>
    <w:p>
      <w:r>
        <w:t>この政令は、女性の職業生活における活躍の推進に関する法律等の一部を改正する法律の施行の日（令和二年六月一日）から施行する。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交通政策審議会令</w:t>
      <w:br/>
      <w:tab/>
      <w:t>（平成十二年政令第三百号）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交通政策審議会令（平成十二年政令第三百号）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