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人事統計報告に関する政令</w:t>
        <w:br/>
        <w:t>（昭和四十一年政令第十二号）</w:t>
      </w:r>
    </w:p>
    <w:p>
      <w:pPr>
        <w:pStyle w:val="Heading4"/>
      </w:pPr>
      <w:r>
        <w:t>第一条（人事統計報告の作成及び保管）</w:t>
      </w:r>
    </w:p>
    <w:p>
      <w:r>
        <w:t>任命権者は、職員の人事管理に役立たせるため、職員の在職関係に関する統計報告（以下「人事統計報告」という。）を作成し、三年間保管しなければならない。</w:t>
      </w:r>
    </w:p>
    <w:p>
      <w:pPr>
        <w:pStyle w:val="Heading4"/>
      </w:pPr>
      <w:r>
        <w:t>第二条（人事統計報告の種類）</w:t>
      </w:r>
    </w:p>
    <w:p>
      <w:r>
        <w:t>人事統計報告は、次に掲げる統計報告とする。</w:t>
      </w:r>
    </w:p>
    <w:p>
      <w:pPr>
        <w:pStyle w:val="Heading6"/>
        <w:ind w:left="880"/>
      </w:pPr>
      <w:r>
        <w:t>一</w:t>
      </w:r>
    </w:p>
    <w:p>
      <w:pPr>
        <w:ind w:left="880"/>
      </w:pPr>
      <w:r>
        <w:t>常勤職員在職状況統計報告</w:t>
      </w:r>
    </w:p>
    <w:p>
      <w:pPr>
        <w:pStyle w:val="Heading6"/>
        <w:ind w:left="880"/>
      </w:pPr>
      <w:r>
        <w:t>二</w:t>
      </w:r>
    </w:p>
    <w:p>
      <w:pPr>
        <w:ind w:left="880"/>
      </w:pPr>
      <w:r>
        <w:t>休職状況統計報告</w:t>
      </w:r>
    </w:p>
    <w:p>
      <w:pPr>
        <w:pStyle w:val="Heading6"/>
        <w:ind w:left="880"/>
      </w:pPr>
      <w:r>
        <w:t>三</w:t>
      </w:r>
    </w:p>
    <w:p>
      <w:pPr>
        <w:ind w:left="880"/>
      </w:pPr>
      <w:r>
        <w:t>検察官在職状況統計報告</w:t>
      </w:r>
    </w:p>
    <w:p>
      <w:pPr>
        <w:pStyle w:val="Heading6"/>
        <w:ind w:left="880"/>
      </w:pPr>
      <w:r>
        <w:t>四</w:t>
      </w:r>
    </w:p>
    <w:p>
      <w:pPr>
        <w:ind w:left="880"/>
      </w:pPr>
      <w:r>
        <w:t>常勤労務者等在職状況統計報告</w:t>
      </w:r>
    </w:p>
    <w:p>
      <w:pPr>
        <w:pStyle w:val="Heading6"/>
        <w:ind w:left="880"/>
      </w:pPr>
      <w:r>
        <w:t>五</w:t>
      </w:r>
    </w:p>
    <w:p>
      <w:pPr>
        <w:ind w:left="880"/>
      </w:pPr>
      <w:r>
        <w:t>非常勤職員在職状況統計報告</w:t>
      </w:r>
    </w:p>
    <w:p>
      <w:pPr>
        <w:pStyle w:val="Heading6"/>
        <w:ind w:left="880"/>
      </w:pPr>
      <w:r>
        <w:t>六</w:t>
      </w:r>
    </w:p>
    <w:p>
      <w:pPr>
        <w:ind w:left="880"/>
      </w:pPr>
      <w:r>
        <w:t>給与支払状況統計報告</w:t>
      </w:r>
    </w:p>
    <w:p>
      <w:pPr>
        <w:pStyle w:val="Heading6"/>
        <w:ind w:left="880"/>
      </w:pPr>
      <w:r>
        <w:t>七</w:t>
      </w:r>
    </w:p>
    <w:p>
      <w:pPr>
        <w:ind w:left="880"/>
      </w:pPr>
      <w:r>
        <w:t>前各号に掲げるもののほか、内閣官房令で定める統計報告</w:t>
      </w:r>
    </w:p>
    <w:p>
      <w:pPr>
        <w:pStyle w:val="Heading4"/>
      </w:pPr>
      <w:r>
        <w:t>第三条（内閣官房令への委任）</w:t>
      </w:r>
    </w:p>
    <w:p>
      <w:r>
        <w:t>前二条に定めるもののほか、人事統計報告に関し必要な事項は、内閣官房令で定める。</w:t>
      </w:r>
    </w:p>
    <w:p>
      <w:r>
        <w:br w:type="page"/>
      </w:r>
    </w:p>
    <w:p>
      <w:pPr>
        <w:pStyle w:val="Heading1"/>
      </w:pPr>
      <w:r>
        <w:t>附　則</w:t>
      </w:r>
    </w:p>
    <w:p>
      <w:r>
        <w:t>この政令は、昭和四十一年二月十九日から施行する。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人事統計報告に関する政令</w:t>
      <w:br/>
      <w:tab/>
      <w:t>（昭和四十一年政令第十二号）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人事統計報告に関する政令（昭和四十一年政令第十二号）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