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人事院規則一―三（法の規定の適用）</w:t>
        <w:br/>
        <w:t>（昭和二十四年人事院規則一―三）</w:t>
      </w:r>
    </w:p>
    <w:p>
      <w:r>
        <w:t>法の規定のうち次のものは、適用されていることをここに明かにする。</w:t>
      </w:r>
    </w:p>
    <w:p>
      <w:r>
        <w:br w:type="page"/>
      </w:r>
    </w:p>
    <w:p>
      <w:pPr>
        <w:pStyle w:val="Heading1"/>
      </w:pPr>
      <w:r>
        <w:t>第二次改正法律附則</w:t>
      </w:r>
    </w:p>
    <w:p>
      <w:r>
        <w:t>第三次改正法律附則（昭和二十四年三月三十日適用）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人事院規則一―三（法の規定の適用）</w:t>
      <w:br/>
      <w:tab/>
      <w:t>（昭和二十四年人事院規則一―三）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人事院規則一―三（法の規定の適用）（昭和二十四年人事院規則一―三）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