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人事院規則一―四五（人事・給与関係業務情報システムを使用する場合の人事関係手続の特例）</w:t>
        <w:br/>
        <w:t>（平成十八年人事院規則一―四五）</w:t>
      </w:r>
    </w:p>
    <w:p>
      <w:pPr>
        <w:pStyle w:val="Heading4"/>
      </w:pPr>
      <w:r>
        <w:t>第一条（趣旨）</w:t>
      </w:r>
    </w:p>
    <w:p>
      <w:r>
        <w:t>法、給与法、補償法、派遣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又は平成三十七年国際博覧会特措法（これらの法律を改正する法律を含む。）に基づく規則に定める人事院の所管の手続（以下「人事関係手続」という。）を簡素かつ効率的に行うことができるものとして人事院が設計及び開発を行った総合的情報システム（以下「人事・給与関係業務情報システム」という。）を使用する場合の人事関係手続の特例については、この規則の定めるところによる。</w:t>
      </w:r>
    </w:p>
    <w:p>
      <w:pPr>
        <w:pStyle w:val="Heading4"/>
      </w:pPr>
      <w:r>
        <w:t>第二条（人事・給与関係業務情報システムを使用する場合の特例）</w:t>
      </w:r>
    </w:p>
    <w:p>
      <w:r>
        <w:t>人事・給与関係業務情報システムを使用して行われた人事関係手続（法第八十九条第一項の説明書、規則八―一二（職員の任免）第五十四条又は規則一一―一〇（職員の降給）第七条の人事異動通知書、規則一二―〇（職員の懲戒）第五条第一項の文書その他人事院が定めるものに関する人事関係手続を除く。）については、当該人事関係手続に係る規則の規定にかかわらず、当該規定に基づき行われたものとみなす。</w:t>
      </w:r>
    </w:p>
    <w:p>
      <w:pPr>
        <w:pStyle w:val="Heading4"/>
      </w:pPr>
      <w:r>
        <w:t>第三条（雑則）</w:t>
      </w:r>
    </w:p>
    <w:p>
      <w:r>
        <w:t>この規則に定めるもののほか、人事・給与関係業務情報システムを使用する場合の人事関係手続の特例に関し必要な事項は、人事院が定める。</w:t>
      </w:r>
    </w:p>
    <w:p>
      <w:pPr>
        <w:pStyle w:val="Heading4"/>
      </w:pPr>
      <w:r>
        <w:t>第四条</w:t>
      </w:r>
    </w:p>
    <w:p>
      <w:r>
        <w:t>国家公務員倫理審査会の所掌する手続に関する前二条の規定の適用については、これらの規定中「人事院」とあるのは、「国家公務員倫理審査会」とする。</w:t>
      </w:r>
    </w:p>
    <w:p>
      <w:r>
        <w:br w:type="page"/>
      </w:r>
    </w:p>
    <w:p>
      <w:pPr>
        <w:pStyle w:val="Heading1"/>
      </w:pPr>
      <w:r>
        <w:t>附　則</w:t>
      </w:r>
    </w:p>
    <w:p>
      <w:r>
        <w:t>この規則は、平成十八年四月一日から施行する。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則（平成二八年二月五日人事院規則一―四五―一）</w:t>
      </w:r>
    </w:p>
    <w:p>
      <w:r>
        <w:t>この規則は、平成二十八年四月一日から施行する。</w:t>
      </w:r>
    </w:p>
    <w:p>
      <w:r>
        <w:br w:type="page"/>
      </w:r>
    </w:p>
    <w:p>
      <w:pPr>
        <w:pStyle w:val="Heading1"/>
      </w:pPr>
      <w:r>
        <w:t>附　則（平成二八年三月三一日人事院規則一―四五―二）</w:t>
      </w:r>
    </w:p>
    <w:p>
      <w:r>
        <w:t>この規則は、平成二十八年四月一日から施行する。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則（令和元年五月二三日人事院規則一―三）</w:t>
      </w:r>
    </w:p>
    <w:p>
      <w:r>
        <w:t>この規則は、公布の日から施行する。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人事院規則一―四五（人事・給与関係業務情報システムを使用する場合の人事関係手続の特例）</w:t>
      <w:br/>
      <w:tab/>
      <w:t>（平成十八年人事院規則一―四五）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人事院規則一―四五（人事・給与関係業務情報システムを使用する場合の人事関係手続の特例）（平成十八年人事院規則一―四五）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