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人事院規則一四―五（公選による公職）</w:t>
        <w:br/>
        <w:t>（昭和二十四年人事院規則一四―五）</w:t>
      </w:r>
    </w:p>
    <w:p>
      <w:r>
        <w:t>法及び規則中公選による公職とは、次に掲げるものの職とする。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衆議院議員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参議院議員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地方公共団体の長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地方公共団体の議会の議員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この規則は、平成二十八年四月一日から施行する。</w:t>
      </w:r>
    </w:p>
    <w:p>
      <w:r>
        <w:br w:type="page"/>
      </w:r>
    </w:p>
    <w:p>
      <w:pPr>
        <w:pStyle w:val="Heading1"/>
      </w:pPr>
      <w:r>
        <w:t>附　則（令和二年一一月一六日人事院規則一四―五―六）</w:t>
      </w:r>
    </w:p>
    <w:p>
      <w:r>
        <w:t>この規則は、令和二年十二月一日から施行する。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人事院規則一四―五（公選による公職）</w:t>
      <w:br/>
      <w:tab/>
      <w:t>（昭和二十四年人事院規則一四―五）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人事院規則一四―五（公選による公職）（昭和二十四年人事院規則一四―五）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