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人事院規則三―〇（事務総長の権限）</w:t>
        <w:br/>
        <w:t>（昭和二十四年人事院規則三―〇）</w:t>
      </w:r>
    </w:p>
    <w:p>
      <w:r>
        <w:t>事務総長は、法律及び規則により定められた行政上及び技術上の責務を遂行するに当たり、人事院の職員並びに国の各機関及び行政執行法人に対し、法律及び規則の定めるところに従い、細則及び通達を発することができる。</w:t>
        <w:br/>
        <w:t>ただし、人事院が特定の事項につき議決をもって留保した権限については、この限りでない。</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人事院規則三―〇（事務総長の権限）</w:t>
      <w:br/>
      <w:tab/>
      <w:t>（昭和二十四年人事院規則三―〇）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人事院規則三―〇（事務総長の権限）（昭和二十四年人事院規則三―〇）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