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人事院規則九―一〇七（再任用短時間勤務職員等の俸給月額の端数計算）</w:t>
        <w:br/>
        <w:t>（平成十一年人事院規則九―一〇七）</w:t>
      </w:r>
    </w:p>
    <w:p>
      <w:r>
        <w:t>次の各号に掲げる職員について、当該各号に定める規定による俸給月額に一円未満の端数があるときは、その端数を切り捨てた額をもって当該職員の俸給月額とする。</w:t>
      </w:r>
    </w:p>
    <w:p>
      <w:pPr>
        <w:pStyle w:val="Heading6"/>
        <w:ind w:left="880"/>
      </w:pPr>
      <w:r>
        <w:t>一</w:t>
      </w:r>
    </w:p>
    <w:p>
      <w:pPr>
        <w:ind w:left="880"/>
      </w:pPr>
      <w:r>
        <w:t>法第八十一条の四第一項又は第八十一条の五第一項の規定により採用された職員で同項に規定する短時間勤務の官職を占めるもの</w:t>
      </w:r>
    </w:p>
    <w:p>
      <w:pPr>
        <w:pStyle w:val="Heading6"/>
        <w:ind w:left="880"/>
      </w:pPr>
      <w:r>
        <w:t>二</w:t>
      </w:r>
    </w:p>
    <w:p>
      <w:pPr>
        <w:ind w:left="880"/>
      </w:pPr>
      <w:r>
        <w:t>育児休業法第十三条第一項に規定する育児短時間勤務職員及び育児休業法第二十二条の規定による短時間勤務をしている職員</w:t>
      </w:r>
    </w:p>
    <w:p>
      <w:pPr>
        <w:pStyle w:val="Heading6"/>
        <w:ind w:left="880"/>
      </w:pPr>
      <w:r>
        <w:t>三</w:t>
      </w:r>
    </w:p>
    <w:p>
      <w:pPr>
        <w:ind w:left="880"/>
      </w:pPr>
      <w:r>
        <w:t>育児休業法第二十三条第二項に規定する任期付短時間勤務職員</w:t>
      </w:r>
    </w:p>
    <w:p>
      <w:r>
        <w:br w:type="page"/>
      </w:r>
    </w:p>
    <w:p>
      <w:pPr>
        <w:pStyle w:val="Heading1"/>
      </w:pPr>
      <w:r>
        <w:t>附　則</w:t>
      </w:r>
    </w:p>
    <w:p>
      <w:r>
        <w:t>この規則は、平成十三年四月一日から施行する。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則（平成二二年一一月三〇日人事院規則九―一〇七―一）</w:t>
      </w:r>
    </w:p>
    <w:p>
      <w:r>
        <w:t>この規則は、平成二十二年十二月一日から施行する。</w:t>
      </w:r>
    </w:p>
    <w:p>
      <w:r>
        <w:br w:type="page"/>
      </w:r>
    </w:p>
    <w:p>
      <w:pPr>
        <w:pStyle w:val="Heading1"/>
      </w:pPr>
      <w:r>
        <w:t>附　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　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　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　則（平成二五年一〇月一日人事院規則九―八―七七）</w:t>
      </w:r>
    </w:p>
    <w:p>
      <w:r>
        <w:t>この規則は、平成二十六年一月一日から施行する。</w:t>
      </w:r>
    </w:p>
    <w:p>
      <w:r>
        <w:br w:type="page"/>
      </w:r>
    </w:p>
    <w:p>
      <w:pPr>
        <w:pStyle w:val="Heading1"/>
      </w:pPr>
      <w:r>
        <w:t>附　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則（平成三〇年二月一日人事院規則九―一四四）</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人事院規則九―一〇七（再任用短時間勤務職員等の俸給月額の端数計算）</w:t>
      <w:br/>
      <w:tab/>
      <w:t>（平成十一年人事院規則九―一〇七）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人事院規則九―一〇七（再任用短時間勤務職員等の俸給月額の端数計算）（平成十一年人事院規則九―一〇七）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