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人事院規則九―一四〇（平成二十七年勧告改正法附則第二条の規定による最高の号俸を超える俸給月額を受ける任期付職員の俸給月額の切替え）</w:t>
        <w:br/>
        <w:t>（平成二十八年人事院規則九―一四〇）</w:t>
      </w:r>
    </w:p>
    <w:p>
      <w:r>
        <w:t>平成二十七年四月一日（以下「切替日」という。）の前日において任期付職員法第七条第三項の規定による俸給月額を受けていた職員の切替日における俸給月額は、その者の切替日の前日における俸給月額に対応する次の表の新俸給月額欄に定める俸給月額と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人事院規則九―一四〇（平成二十七年勧告改正法附則第二条の規定による最高の号俸を超える俸給月額を受ける任期付職員の俸給月額の切替え）</w:t>
      <w:br/>
      <w:tab/>
      <w:t>（平成二十八年人事院規則九―一四〇）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人事院規則九―一四〇（平成二十七年勧告改正法附則第二条の規定による最高の号俸を超える俸給月額を受ける任期付職員の俸給月額の切替え）（平成二十八年人事院規則九―一四〇）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