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人事院規則九―一四二（平成二十八年改正法の施行に伴う給与の支給等の特例）</w:t>
        <w:br/>
        <w:t>（人事院規則九―一四二）</w:t>
      </w:r>
    </w:p>
    <w:p>
      <w:pPr>
        <w:pStyle w:val="Heading4"/>
      </w:pPr>
      <w:r>
        <w:t>第一条（定義）</w:t>
      </w:r>
    </w:p>
    <w:p>
      <w:r>
        <w:t>この規則において、次の各号に掲げる用語の意義は、当該各号に定めるところによる。</w:t>
      </w:r>
    </w:p>
    <w:p>
      <w:pPr>
        <w:pStyle w:val="ListBullet"/>
        <w:ind w:left="880"/>
      </w:pPr>
      <w:r>
        <w:t>一</w:t>
        <w:br/>
        <w:t>経過措置額支給特定職員</w:t>
        <w:br/>
        <w:br/>
        <w:br/>
        <w:t>一般職の職員の給与に関する法律等の一部を改正する法律（平成二十六年法律第百五号。以下「平成二十六年改正法」という。）附則第七条第一項に規定する特定職員であり、かつ、平成二十八年四月一日前に五十五歳に達した者であって、同条の規定による俸給を支給されるものをいう。</w:t>
      </w:r>
    </w:p>
    <w:p>
      <w:pPr>
        <w:pStyle w:val="ListBullet"/>
        <w:ind w:left="880"/>
      </w:pPr>
      <w:r>
        <w:t>二</w:t>
        <w:br/>
        <w:t>施行日</w:t>
        <w:br/>
        <w:br/>
        <w:br/>
        <w:t>一般職の職員の給与に関する法律等の一部を改正する法律（平成二十八年法律第八十号。以下「平成二十八年改正法」という。）の施行の日をいう。</w:t>
      </w:r>
    </w:p>
    <w:p>
      <w:pPr>
        <w:pStyle w:val="ListBullet"/>
        <w:ind w:left="880"/>
      </w:pPr>
      <w:r>
        <w:t>三</w:t>
        <w:br/>
        <w:t>改正後の給与法</w:t>
        <w:br/>
        <w:br/>
        <w:br/>
        <w:t>平成二十八年改正法第一条の規定（給与法第十九条の七第二項及び附則第十一項の改正規定を除く。）による改正後の給与法をいう。</w:t>
      </w:r>
    </w:p>
    <w:p>
      <w:pPr>
        <w:pStyle w:val="ListBullet"/>
        <w:ind w:left="880"/>
      </w:pPr>
      <w:r>
        <w:t>四</w:t>
        <w:br/>
        <w:t>改正前の給与法</w:t>
        <w:br/>
        <w:br/>
        <w:br/>
        <w:t>平成二十八年改正法第一条の規定による改正前の給与法をいう。</w:t>
      </w:r>
    </w:p>
    <w:p>
      <w:pPr>
        <w:pStyle w:val="Heading4"/>
      </w:pPr>
      <w:r>
        <w:t>第二条（経過措置額支給特定職員に対する給与の支給の特例）</w:t>
      </w:r>
    </w:p>
    <w:p>
      <w:r>
        <w:t>経過措置額支給特定職員に対する平成二十八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が、改正前の給与法の規定（平成二十六年改正法附則第七条の規定を含む。以下この条及び次条において同じ。）により支給されるべき額に達しない場合は、改正前の給与法の規定により支給されるべき額に相当する額をもってそれぞれ次の各号に掲げる給与の額とする。</w:t>
      </w:r>
    </w:p>
    <w:p>
      <w:pPr>
        <w:pStyle w:val="ListBullet"/>
        <w:ind w:left="880"/>
      </w:pPr>
      <w:r>
        <w:t>一</w:t>
        <w:br/>
        <w:t>俸給（人事院の定める場合におけるものに限る。）</w:t>
      </w:r>
    </w:p>
    <w:p>
      <w:pPr>
        <w:pStyle w:val="ListBullet"/>
        <w:ind w:left="880"/>
      </w:pPr>
      <w:r>
        <w:t>二</w:t>
        <w:br/>
        <w:t>専門スタッフ職調整手当</w:t>
      </w:r>
    </w:p>
    <w:p>
      <w:pPr>
        <w:pStyle w:val="ListBullet"/>
        <w:ind w:left="880"/>
      </w:pPr>
      <w:r>
        <w:t>三</w:t>
        <w:br/>
        <w:t>地域手当</w:t>
      </w:r>
    </w:p>
    <w:p>
      <w:pPr>
        <w:pStyle w:val="ListBullet"/>
        <w:ind w:left="880"/>
      </w:pPr>
      <w:r>
        <w:t>四</w:t>
        <w:br/>
        <w:t>広域異動手当</w:t>
      </w:r>
    </w:p>
    <w:p>
      <w:pPr>
        <w:pStyle w:val="ListBullet"/>
        <w:ind w:left="880"/>
      </w:pPr>
      <w:r>
        <w:t>五</w:t>
        <w:br/>
        <w:t>特地勤務手当</w:t>
      </w:r>
    </w:p>
    <w:p>
      <w:pPr>
        <w:pStyle w:val="ListBullet"/>
        <w:ind w:left="880"/>
      </w:pPr>
      <w:r>
        <w:t>六</w:t>
        <w:br/>
        <w:t>特地勤務手当に準ずる手当</w:t>
      </w:r>
    </w:p>
    <w:p>
      <w:pPr>
        <w:pStyle w:val="ListBullet"/>
        <w:ind w:left="880"/>
      </w:pPr>
      <w:r>
        <w:t>七</w:t>
        <w:br/>
        <w:t>超過勤務手当</w:t>
      </w:r>
    </w:p>
    <w:p>
      <w:pPr>
        <w:pStyle w:val="ListBullet"/>
        <w:ind w:left="880"/>
      </w:pPr>
      <w:r>
        <w:t>八</w:t>
        <w:br/>
        <w:t>休日給</w:t>
      </w:r>
    </w:p>
    <w:p>
      <w:pPr>
        <w:pStyle w:val="ListBullet"/>
        <w:ind w:left="880"/>
      </w:pPr>
      <w:r>
        <w:t>九</w:t>
        <w:br/>
        <w:t>夜勤手当</w:t>
      </w:r>
    </w:p>
    <w:p>
      <w:pPr>
        <w:pStyle w:val="ListBullet"/>
        <w:ind w:left="880"/>
      </w:pPr>
      <w:r>
        <w:t>十</w:t>
        <w:br/>
        <w:t>期末手当</w:t>
      </w:r>
    </w:p>
    <w:p>
      <w:pPr>
        <w:pStyle w:val="ListBullet"/>
        <w:ind w:left="880"/>
      </w:pPr>
      <w:r>
        <w:t>十一</w:t>
        <w:br/>
        <w:t>勤勉手当</w:t>
      </w:r>
    </w:p>
    <w:p>
      <w:pPr>
        <w:pStyle w:val="Heading4"/>
      </w:pPr>
      <w:r>
        <w:t>第三条</w:t>
      </w:r>
    </w:p>
    <w:p>
      <w:r>
        <w:t>経過措置額支給特定職員に対する平成二十八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八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八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この規則に定めるもののほか、平成二十八年改正法の施行に伴う給与の支給等の特例に関し必要な事項は、人事院が定める。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二（平成二十八年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人事院規則九―一四二（平成二十八年改正法の施行に伴う給与の支給等の特例）</w:t>
      <w:br/>
      <w:tab/>
      <w:t>（人事院規則九―一四二）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人事院規則九―一四二（平成二十八年改正法の施行に伴う給与の支給等の特例）（人事院規則九―一四二）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