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人事院規則九―九七（超過勤務手当）</w:t>
        <w:br/>
        <w:t>（平成二十二年人事院規則九―九七）</w:t>
      </w:r>
    </w:p>
    <w:p>
      <w:pPr>
        <w:pStyle w:val="Heading4"/>
      </w:pPr>
      <w:r>
        <w:t>第一条（趣旨）</w:t>
      </w:r>
    </w:p>
    <w:p>
      <w:r>
        <w:t>超過勤務手当の支給については、別に定める場合を除き、この規則の定めるところによる。</w:t>
      </w:r>
    </w:p>
    <w:p>
      <w:pPr>
        <w:pStyle w:val="Heading4"/>
      </w:pPr>
      <w:r>
        <w:t>第二条（超過勤務手当の支給割合）</w:t>
      </w:r>
    </w:p>
    <w:p>
      <w:r>
        <w:t>給与法第十六条第一項の人事院規則で定める割合は、次の各号に掲げる勤務の区分に応じ、当該各号に定める割合とする。</w:t>
      </w:r>
    </w:p>
    <w:p>
      <w:pPr>
        <w:pStyle w:val="ListBullet"/>
        <w:ind w:left="880"/>
      </w:pPr>
      <w:r>
        <w:t>一</w:t>
        <w:br/>
        <w:t>給与法第十六条第一項第一号に掲げる勤務</w:t>
        <w:br/>
        <w:br/>
        <w:br/>
        <w:t>百分の百二十五</w:t>
      </w:r>
    </w:p>
    <w:p>
      <w:pPr>
        <w:pStyle w:val="ListBullet"/>
        <w:ind w:left="880"/>
      </w:pPr>
      <w:r>
        <w:t>二</w:t>
        <w:br/>
        <w:t>給与法第十六条第一項第二号に掲げる勤務</w:t>
        <w:br/>
        <w:br/>
        <w:br/>
        <w:t>百分の百三十五</w:t>
      </w:r>
    </w:p>
    <w:p>
      <w:pPr>
        <w:pStyle w:val="Heading4"/>
      </w:pPr>
      <w:r>
        <w:t>第三条（雑則）</w:t>
      </w:r>
    </w:p>
    <w:p>
      <w:r>
        <w:t>この規則に定めるもののほか、超過勤務手当に関し必要な事項は、人事院が定める。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4"/>
      </w:pPr>
      <w:r>
        <w:t>第一条（施行期日）</w:t>
      </w:r>
    </w:p>
    <w:p>
      <w:r>
        <w:t>この規則は、平成二十二年四月一日から施行する。</w:t>
      </w:r>
    </w:p>
    <w:p>
      <w:r>
        <w:br w:type="page"/>
      </w:r>
    </w:p>
    <w:p>
      <w:pPr>
        <w:pStyle w:val="Heading1"/>
      </w:pPr>
      <w:r>
        <w:t>附則（平成二三年二月一日人事院規則九―九七―二）</w:t>
      </w:r>
    </w:p>
    <w:p>
      <w:r>
        <w:t>この規則は、平成二十三年四月一日から施行する。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人事院規則九―九七（超過勤務手当）</w:t>
      <w:br/>
      <w:tab/>
      <w:t>（平成二十二年人事院規則九―九七）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人事院規則九―九七（超過勤務手当）（平成二十二年人事院規則九―九七）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