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人事院規則九―九九（給与法別表第一イの備考（二）等の規定の適用を受ける職員）</w:t>
        <w:br/>
        <w:t>（平成七年人事院規則九―九九）</w:t>
      </w:r>
    </w:p>
    <w:p>
      <w:r>
        <w:t>給与法別表第一イの備考（二）、別表第二の備考（二）、別表第三の備考（二）並びに別表第四イの備考（二）及びロの備考（二）の人事院規則で定める職員は、規則九―八（初任給、昇格、昇給等の基準）第十二条第一項の規定に基づき、同規則別表第二に定める初任給基準表の試験欄の「総合職（大卒）」の区分を適用してその受ける号俸を決定された職員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この規則は、公布の日から施行し、平成七年四月一日から適用する。</w:t>
      </w:r>
    </w:p>
    <w:p>
      <w:r>
        <w:br w:type="page"/>
      </w:r>
    </w:p>
    <w:p>
      <w:pPr>
        <w:pStyle w:val="Heading1"/>
      </w:pPr>
      <w:r>
        <w:t>附　則（平成二一年五月二九日人事院規則九―八―六九）</w:t>
      </w:r>
    </w:p>
    <w:p>
      <w:pPr>
        <w:pStyle w:val="Heading4"/>
      </w:pPr>
      <w:r>
        <w:t>第一条（施行期日）</w:t>
      </w:r>
    </w:p>
    <w:p>
      <w:r>
        <w:t>この規則は、平成二十一年七月一日から施行する。</w:t>
      </w:r>
    </w:p>
    <w:p>
      <w:r>
        <w:br w:type="page"/>
      </w:r>
    </w:p>
    <w:p>
      <w:pPr>
        <w:pStyle w:val="Heading1"/>
      </w:pPr>
      <w:r>
        <w:t>附　則（平成二三年一二月二八日人事院規則九―八―七四）</w:t>
      </w:r>
    </w:p>
    <w:p>
      <w:pPr>
        <w:pStyle w:val="Heading4"/>
      </w:pPr>
      <w:r>
        <w:t>第一条（施行期日）</w:t>
      </w:r>
    </w:p>
    <w:p>
      <w:r>
        <w:t>この規則は、平成二十四年二月一日から施行する。</w:t>
      </w:r>
    </w:p>
    <w:p>
      <w:r>
        <w:br w:type="page"/>
      </w:r>
    </w:p>
    <w:p>
      <w:pPr>
        <w:pStyle w:val="Heading1"/>
      </w:pPr>
      <w:r>
        <w:t>附　則（平成二八年一月二六日人事院規則九―九九―一）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人事院規則九―九九（給与法別表第一イの備考（二）等の規定の適用を受ける職員）</w:t>
      <w:br/>
      <w:tab/>
      <w:t>（平成七年人事院規則九―九九）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人事院規則九―九九（給与法別表第一イの備考（二）等の規定の適用を受ける職員）（平成七年人事院規則九―九九）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