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介護保険法施行令第三十七条第一項第三十四号に掲げる規定として文部科学大臣が定めるものを定める省令</w:t>
        <w:br/>
        <w:t>（平成十二年文部省令第三十七号）</w:t>
      </w:r>
    </w:p>
    <w:p>
      <w:r>
        <w:t>介護保険法施行令（平成十年政令第四百十二号）第三十七条第一項に掲げる規定として文部科学大臣が定めるものは、次のとおりとする。</w:t>
      </w:r>
    </w:p>
    <w:p>
      <w:r>
        <w:br w:type="page"/>
      </w:r>
    </w:p>
    <w:p>
      <w:pPr>
        <w:pStyle w:val="Heading1"/>
      </w:pPr>
      <w:r>
        <w:t>附　則</w:t>
      </w:r>
    </w:p>
    <w:p>
      <w:pPr>
        <w:pStyle w:val="Heading5"/>
        <w:ind w:left="440"/>
      </w:pPr>
      <w:r>
        <w:t>１</w:t>
      </w:r>
    </w:p>
    <w:p>
      <w:pPr>
        <w:ind w:left="440"/>
      </w:pPr>
      <w:r>
        <w:t>この省令は、平成十二年四月一日から施行する。</w:t>
      </w:r>
    </w:p>
    <w:p>
      <w:pPr>
        <w:pStyle w:val="Heading5"/>
        <w:ind w:left="440"/>
      </w:pPr>
      <w:r>
        <w:t>２</w:t>
      </w:r>
    </w:p>
    <w:p>
      <w:pPr>
        <w:ind w:left="440"/>
      </w:pPr>
      <w:r>
        <w:t>老人保健法施行令別表第二第三十一号に掲げる規定として文部大臣が定めるものを定める省令（昭和六十三年文部省令第二号）は、廃止する。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介護保険法施行令第三十七条第一項第三十四号に掲げる規定として文部科学大臣が定めるものを定める省令</w:t>
      <w:br/>
      <w:tab/>
      <w:t>（平成十二年文部省令第三十七号）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介護保険法施行令第三十七条第一項第三十四号に掲げる規定として文部科学大臣が定めるものを定める省令（平成十二年文部省令第三十七号）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