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企業合理化促進法施行規則に係る民間事業者等が行う書面の保存等における情報通信の技術の利用に関する法律施行規則</w:t>
        <w:br/>
        <w:t>（平成十七年財務省・厚生労働省・農林水産省・経済産業省・国土交通省令第二号）</w:t>
      </w:r>
    </w:p>
    <w:p>
      <w:pPr>
        <w:pStyle w:val="Heading4"/>
      </w:pPr>
      <w:r>
        <w:t>第一条（趣旨）</w:t>
      </w:r>
    </w:p>
    <w:p>
      <w:r>
        <w:t>民間事業者等が、企業合理化促進法施行規則（昭和二十七年大蔵省・厚生省・農林省・通商産業省・運輸省・建設省令第二号）に係る保存等を、電磁的記録を使用して行う場合については、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法第三条第一項の主務省令で定める保存は、企業合理化促進法施行規則第八条の規定に基づく書面の保存とする。</w:t>
      </w:r>
    </w:p>
    <w:p>
      <w:pPr>
        <w:pStyle w:val="Heading4"/>
      </w:pPr>
      <w:r>
        <w:t>第四条（電磁的記録による保存）</w:t>
      </w:r>
    </w:p>
    <w:p>
      <w:r>
        <w:t>民間事業者等が、法第三条第一項の規定に基づき、企業合理化促進法施行規則第八条の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法第四条第一項の主務省令で定める作成は、企業合理化促進法施行規則第八条の規定に基づく書面の作成とする。</w:t>
      </w:r>
    </w:p>
    <w:p>
      <w:pPr>
        <w:pStyle w:val="Heading4"/>
      </w:pPr>
      <w:r>
        <w:t>第六条（電磁的記録による作成）</w:t>
      </w:r>
    </w:p>
    <w:p>
      <w:r>
        <w:t>民間事業者等が、法第四条第一項の規定に基づき、企業合理化促進法施行規則第八条の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企業合理化促進法施行規則に係る民間事業者等が行う書面の保存等における情報通信の技術の利用に関する法律施行規則</w:t>
      <w:br/>
      <w:tab/>
      <w:t>（平成十七年財務省・厚生労働省・農林水産省・経済産業省・国土交通省令第二号）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企業合理化促進法施行規則に係る民間事業者等が行う書面の保存等における情報通信の技術の利用に関する法律施行規則（平成十七年財務省・厚生労働省・農林水産省・経済産業省・国土交通省令第二号）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