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休眠預金等活用審議会令</w:t>
        <w:br/>
        <w:t>（平成二十九年政令第百四十号）</w:t>
      </w:r>
    </w:p>
    <w:p>
      <w:pPr>
        <w:pStyle w:val="Heading4"/>
      </w:pPr>
      <w:r>
        <w:t>第一条（部会）</w:t>
      </w:r>
    </w:p>
    <w:p>
      <w:r>
        <w:t>休眠預金等活用審議会（以下「審議会」という。）は、その定めるところにより、部会を置くことができる。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第二条（議事）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第三条（庶務）</w:t>
      </w:r>
    </w:p>
    <w:p>
      <w:r>
        <w:t>審議会の庶務は、内閣府本府に置かれる政策統括官が処理する。</w:t>
      </w:r>
    </w:p>
    <w:p>
      <w:pPr>
        <w:pStyle w:val="Heading4"/>
      </w:pPr>
      <w:r>
        <w:t>第四条（審議会の運営）</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この政令は、民間公益活動を促進するための休眠預金等に係る資金の活用に関する法律附則第一条第三号に掲げる規定の施行の日（平成二十九年四月二十四日）から施行する。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休眠預金等活用審議会令</w:t>
      <w:br/>
      <w:tab/>
      <w:t>（平成二十九年政令第百四十号）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休眠預金等活用審議会令（平成二十九年政令第百四十号）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