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会社等臨時措置法等を廃止する政令　抄</w:t>
        <w:br/>
        <w:t>（昭和二十三年政令第四百二号）</w:t>
      </w:r>
    </w:p>
    <w:p>
      <w:r>
        <w:t>会社等臨時措置法（昭和十九年法律第三号）及び会社等臨時措置法施行令（昭和十九年勅令第百四十二号）は、廃止する。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</w:t>
      </w:r>
    </w:p>
    <w:p>
      <w:r>
        <w:t>この政令は、公布の日から起算して十日を経過した日から施行する。</w:t>
      </w:r>
    </w:p>
    <w:p>
      <w:pPr>
        <w:pStyle w:val="Heading4"/>
      </w:pPr>
      <w:r>
        <w:t>第五条</w:t>
      </w:r>
    </w:p>
    <w:p>
      <w:r>
        <w:t>昭和二十四年十二月三十一日までになした社債（債券を含む。以下同じ。）の登記については、旧法第五条及び第八条並びに旧令第四条及び第十七条の規定は、その社債の総額の償還があつたことの登記が完了するときまで、なおその効力を有する。</w:t>
      </w:r>
    </w:p>
    <w:p>
      <w:pPr>
        <w:pStyle w:val="Heading4"/>
      </w:pPr>
      <w:r>
        <w:t>第七条</w:t>
      </w:r>
    </w:p>
    <w:p>
      <w:r>
        <w:t>この政令の施行前にした行為に対する罰則の適用については、旧法第九条の規定は、なおその効力を有する。</w:t>
      </w:r>
    </w:p>
    <w:p>
      <w:pPr>
        <w:pStyle w:val="Heading4"/>
      </w:pPr>
      <w:r>
        <w:t>第九条</w:t>
      </w:r>
    </w:p>
    <w:p>
      <w:r>
        <w:t>この政令の施行前、改正前の社債等登録法第三条第一項第二号（同法第十四条において準用する場合を含む。）の規定に基き登録した社債については、改正前の同法の規定は、なおその効力を有する。</w:t>
      </w:r>
    </w:p>
    <w:p>
      <w:r>
        <w:br w:type="page"/>
      </w:r>
    </w:p>
    <w:p>
      <w:pPr>
        <w:pStyle w:val="Heading1"/>
      </w:pPr>
      <w:r>
        <w:t>附則（昭和二四年四月三〇日法律第四七号）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会社等臨時措置法等を廃止する政令　抄</w:t>
      <w:br/>
      <w:tab/>
      <w:t>（昭和二十三年政令第四百二号）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会社等臨時措置法等を廃止する政令　抄（昭和二十三年政令第四百二号）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