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使用施設等の位置、構造及び設備の基準に関する規則</w:t>
        <w:br/>
        <w:t>（平成二十五年原子力規制委員会規則第三十四号）</w:t>
      </w:r>
    </w:p>
    <w:p>
      <w:pPr>
        <w:pStyle w:val="Heading2"/>
      </w:pPr>
      <w:r>
        <w:t>第一章　総則</w:t>
      </w:r>
    </w:p>
    <w:p>
      <w:pPr>
        <w:pStyle w:val="Heading4"/>
      </w:pPr>
      <w:r>
        <w:t>第一条（定義）</w:t>
      </w:r>
    </w:p>
    <w:p>
      <w:r>
        <w:t>この規則において使用する用語は、核原料物質、核燃料物質及び原子炉の規制に関する法律（次項第一号において「法」という。）及び核燃料物質の使用等に関する規則（昭和三十二年総理府令第八十四号）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Heading6"/>
        <w:ind w:left="880"/>
      </w:pPr>
      <w:r>
        <w:t>一</w:t>
      </w:r>
    </w:p>
    <w:p>
      <w:pPr>
        <w:ind w:left="880"/>
      </w:pPr>
      <w:r>
        <w:t>「使用前検査対象施設」とは、使用施設等のうち、法第五十五条の二第一項の規定により使用者が検査を行わなければならないものをいう。</w:t>
      </w:r>
    </w:p>
    <w:p>
      <w:pPr>
        <w:pStyle w:val="Heading6"/>
        <w:ind w:left="880"/>
      </w:pPr>
      <w:r>
        <w:t>二</w:t>
      </w:r>
    </w:p>
    <w:p>
      <w:pPr>
        <w:ind w:left="880"/>
      </w:pPr>
      <w:r>
        <w:t>「設計評価事故」とは、操作上の過失、機械若しくは装置の故障又は地震、火災、爆発その他の災害により発生する事故であって、公衆に放射性物質又は放射線による影響を及ぼすおそれがあるものとして安全設計上想定すべきものをいう。</w:t>
      </w:r>
    </w:p>
    <w:p>
      <w:pPr>
        <w:pStyle w:val="Heading6"/>
        <w:ind w:left="880"/>
      </w:pPr>
      <w:r>
        <w:t>三</w:t>
      </w:r>
    </w:p>
    <w:p>
      <w:pPr>
        <w:ind w:left="880"/>
      </w:pPr>
      <w:r>
        <w:t>「安全機能」とは、使用施設等の通常時又は設計評価事故時において、使用施設等の安全性を確保するために必要な機能をいう。</w:t>
      </w:r>
    </w:p>
    <w:p>
      <w:pPr>
        <w:pStyle w:val="Heading6"/>
        <w:ind w:left="880"/>
      </w:pPr>
      <w:r>
        <w:t>四</w:t>
      </w:r>
    </w:p>
    <w:p>
      <w:pPr>
        <w:ind w:left="880"/>
      </w:pPr>
      <w:r>
        <w:t>「安全上重要な施設」とは、使用施設等のうち、安全機能の喪失により、公衆又は従事者に放射線障害を及ぼすおそれがあるもの及び設計評価事故時に公衆又は従事者に及ぼすおそれがある放射線障害を防止するため、放射性物質又は放射線が使用施設等を設置する工場又は事業所(以下「工場等」という。)の外へ放出されることを抑制し、又は防止するものをいう。</w:t>
      </w:r>
    </w:p>
    <w:p>
      <w:pPr>
        <w:pStyle w:val="Heading6"/>
        <w:ind w:left="880"/>
      </w:pPr>
      <w:r>
        <w:t>五</w:t>
      </w:r>
    </w:p>
    <w:p>
      <w:pPr>
        <w:ind w:left="880"/>
      </w:pPr>
      <w:r>
        <w:t>「多様性」とは、同一の機能を有する二以上の系統又は機器が、想定される環境条件において、これらの構造、動作原理その他の性質が異なることにより、共通要因(二以上の系統又は機器に同時に影響を及ぼすことによりその機能を失わせる要因をいう。)又は従属要因(単一の原因によって確実に系統又は機器に故障を発生させることとなる要因をいう。第十六条第二項において同じ。)によって同時にその機能が損なわれないことをいう。</w:t>
      </w:r>
    </w:p>
    <w:p>
      <w:pPr>
        <w:pStyle w:val="Heading2"/>
      </w:pPr>
      <w:r>
        <w:t>第二章　使用施設等の基準</w:t>
      </w:r>
    </w:p>
    <w:p>
      <w:pPr>
        <w:pStyle w:val="Heading4"/>
      </w:pPr>
      <w:r>
        <w:t>第二条（閉じ込めの機能）</w:t>
      </w:r>
    </w:p>
    <w:p>
      <w:r>
        <w:t>使用施設等は、放射性物質を限定された区域に適切に閉じ込めることができるものでなければならない。</w:t>
      </w:r>
    </w:p>
    <w:p>
      <w:pPr>
        <w:pStyle w:val="Heading4"/>
      </w:pPr>
      <w:r>
        <w:t>第三条（遮蔽）</w:t>
      </w:r>
    </w:p>
    <w:p>
      <w:r>
        <w:t>使用施設等は、放射性物質からの放射線に対して適切な遮蔽能力を有するものでなければならない。</w:t>
      </w:r>
    </w:p>
    <w:p>
      <w:pPr>
        <w:pStyle w:val="Heading4"/>
      </w:pPr>
      <w:r>
        <w:t>第四条（火災等による損傷の防止）</w:t>
      </w:r>
    </w:p>
    <w:p>
      <w:r>
        <w:t>使用施設等は、火災又は爆発によりその安全性が損なわれないよう、火災及び爆発の発生を防止することができ、かつ、火災及び爆発の影響を軽減する機能を有するものでなければならない。</w:t>
      </w:r>
    </w:p>
    <w:p>
      <w:pPr>
        <w:pStyle w:val="Heading5"/>
        <w:ind w:left="440"/>
      </w:pPr>
      <w:r>
        <w:t>２</w:t>
      </w:r>
    </w:p>
    <w:p>
      <w:pPr>
        <w:ind w:left="440"/>
      </w:pPr>
      <w:r>
        <w:t>使用前検査対象施設には、火災又は爆発によりその安全性が損なわれないよう、前項に定めるもののほか、消火を行う設備（次項において「消火設備」という。）及び早期に火災発生を感知する設備を設けなければならない。</w:t>
      </w:r>
    </w:p>
    <w:p>
      <w:pPr>
        <w:pStyle w:val="Heading5"/>
        <w:ind w:left="440"/>
      </w:pPr>
      <w:r>
        <w:t>３</w:t>
      </w:r>
    </w:p>
    <w:p>
      <w:pPr>
        <w:ind w:left="440"/>
      </w:pPr>
      <w:r>
        <w:t>消火設備は、破損、誤作動又は誤操作が起きた場合においても安全上重要な施設の安全機能を損なわないものでなければならない。</w:t>
      </w:r>
    </w:p>
    <w:p>
      <w:pPr>
        <w:pStyle w:val="Heading4"/>
      </w:pPr>
      <w:r>
        <w:t>第五条（立入りの防止）</w:t>
      </w:r>
    </w:p>
    <w:p>
      <w:r>
        <w:t>使用施設等には、人がみだりに管理区域内に立ち入らないように壁、柵その他の区画物及び標識を設けなければならない。</w:t>
      </w:r>
    </w:p>
    <w:p>
      <w:pPr>
        <w:pStyle w:val="Heading5"/>
        <w:ind w:left="440"/>
      </w:pPr>
      <w:r>
        <w:t>２</w:t>
      </w:r>
    </w:p>
    <w:p>
      <w:pPr>
        <w:ind w:left="440"/>
      </w:pPr>
      <w:r>
        <w:t>使用施設等には、業務上立ち入る者以外の者がみだりに周辺監視区域内に立ち入ることを制限するため、当該区域の境界に柵その他の人の侵入を防止するための設備又は標識を設けなければならない。</w:t>
      </w:r>
    </w:p>
    <w:p>
      <w:pPr>
        <w:pStyle w:val="Heading4"/>
      </w:pPr>
      <w:r>
        <w:t>第六条（自然現象による影響の考慮）</w:t>
      </w:r>
    </w:p>
    <w:p>
      <w:r>
        <w:t>使用施設等（使用前検査対象施設は除く。）は、想定される自然現象による当該使用施設等への影響を適切に考慮したものでなければならない。</w:t>
      </w:r>
    </w:p>
    <w:p>
      <w:pPr>
        <w:pStyle w:val="Heading4"/>
      </w:pPr>
      <w:r>
        <w:t>第七条（核燃料物質の臨界防止）</w:t>
      </w:r>
    </w:p>
    <w:p>
      <w:r>
        <w:t>使用前検査対象施設は、核燃料物質が臨界に達するおそれがないようにするため、核的に安全な形状寸法にすることその他の適切な措置を講じたものでなければならない。</w:t>
      </w:r>
    </w:p>
    <w:p>
      <w:pPr>
        <w:pStyle w:val="Heading5"/>
        <w:ind w:left="440"/>
      </w:pPr>
      <w:r>
        <w:t>２</w:t>
      </w:r>
    </w:p>
    <w:p>
      <w:pPr>
        <w:ind w:left="440"/>
      </w:pPr>
      <w:r>
        <w:t>使用前検査対象施設には、臨界警報設備その他の臨界事故を防止するために必要な設備を設けなければならない。</w:t>
      </w:r>
    </w:p>
    <w:p>
      <w:pPr>
        <w:pStyle w:val="Heading4"/>
      </w:pPr>
      <w:r>
        <w:t>第八条（使用前検査対象施設の地盤）</w:t>
      </w:r>
    </w:p>
    <w:p>
      <w:r>
        <w:t>使用前検査対象施設は、次条第二項の規定により算定する地震力（安全機能を有する使用前検査対象施設のうち、地震の発生によって生ずるおそれがあるその安全機能の喪失に起因する放射線による公衆への影響の程度が特に大きいもの（以下この条及び次条において「耐震重要施設」という。）にあっては、同条第三項の地震力を含む。）が作用した場合においても当該使用前検査対象施設を十分に支持することができる地盤に設けなければならない。</w:t>
      </w:r>
    </w:p>
    <w:p>
      <w:pPr>
        <w:pStyle w:val="Heading5"/>
        <w:ind w:left="440"/>
      </w:pPr>
      <w:r>
        <w:t>２</w:t>
      </w:r>
    </w:p>
    <w:p>
      <w:pPr>
        <w:ind w:left="440"/>
      </w:pPr>
      <w:r>
        <w:t>耐震重要施設は、変形した場合においてもその安全機能が損なわれるおそれがない地盤に設けなければならない。</w:t>
      </w:r>
    </w:p>
    <w:p>
      <w:pPr>
        <w:pStyle w:val="Heading5"/>
        <w:ind w:left="440"/>
      </w:pPr>
      <w:r>
        <w:t>３</w:t>
      </w:r>
    </w:p>
    <w:p>
      <w:pPr>
        <w:ind w:left="440"/>
      </w:pPr>
      <w:r>
        <w:t>耐震重要施設は、変位が生ずるおそれがない地盤に設けなければならない。</w:t>
      </w:r>
    </w:p>
    <w:p>
      <w:pPr>
        <w:pStyle w:val="Heading4"/>
      </w:pPr>
      <w:r>
        <w:t>第九条（地震による損傷の防止）</w:t>
      </w:r>
    </w:p>
    <w:p>
      <w:r>
        <w:t>使用前検査対象施設は、地震力に十分に耐えることができるものでなければならない。</w:t>
      </w:r>
    </w:p>
    <w:p>
      <w:pPr>
        <w:pStyle w:val="Heading5"/>
        <w:ind w:left="440"/>
      </w:pPr>
      <w:r>
        <w:t>２</w:t>
      </w:r>
    </w:p>
    <w:p>
      <w:pPr>
        <w:ind w:left="440"/>
      </w:pPr>
      <w:r>
        <w:t>前項の地震力は、地震の発生によって生ずるおそれがある使用前検査対象施設の安全機能の喪失に起因する放射線による公衆への影響の程度に応じて算定しなければならない。</w:t>
      </w:r>
    </w:p>
    <w:p>
      <w:pPr>
        <w:pStyle w:val="Heading5"/>
        <w:ind w:left="440"/>
      </w:pPr>
      <w:r>
        <w:t>３</w:t>
      </w:r>
    </w:p>
    <w:p>
      <w:pPr>
        <w:ind w:left="440"/>
      </w:pPr>
      <w:r>
        <w:t>耐震重要施設は、その供用中に当該耐震重要施設に大きな影響を及ぼすおそれがある地震による加速度によって作用する地震力に対して安全機能が損なわれるおそれがないものでなければならない。</w:t>
      </w:r>
    </w:p>
    <w:p>
      <w:pPr>
        <w:pStyle w:val="Heading5"/>
        <w:ind w:left="440"/>
      </w:pPr>
      <w:r>
        <w:t>４</w:t>
      </w:r>
    </w:p>
    <w:p>
      <w:pPr>
        <w:ind w:left="440"/>
      </w:pPr>
      <w:r>
        <w:t>耐震重要施設は、前項の地震の発生によって生ずるおそれがある斜面の崩壊に対して安全機能が損なわれるおそれがないものでなければならない。</w:t>
      </w:r>
    </w:p>
    <w:p>
      <w:pPr>
        <w:pStyle w:val="Heading4"/>
      </w:pPr>
      <w:r>
        <w:t>第十条（津波による損傷の防止）</w:t>
      </w:r>
    </w:p>
    <w:p>
      <w:r>
        <w:t>使用前検査対象施設は、その供用中に当該使用前検査対象施設に大きな影響を及ぼすおそれがある津波に対して安全機能が損なわれるおそれがないものでなければならない。</w:t>
      </w:r>
    </w:p>
    <w:p>
      <w:pPr>
        <w:pStyle w:val="Heading4"/>
      </w:pPr>
      <w:r>
        <w:t>第十一条（外部からの衝撃による損傷の防止）</w:t>
      </w:r>
    </w:p>
    <w:p>
      <w:r>
        <w:t>使用前検査対象施設は、想定される自然現象（地震及び津波を除く。次項において同じ。）が発生した場合においても安全機能を損なわないものでなければならない。</w:t>
      </w:r>
    </w:p>
    <w:p>
      <w:pPr>
        <w:pStyle w:val="Heading5"/>
        <w:ind w:left="440"/>
      </w:pPr>
      <w:r>
        <w:t>２</w:t>
      </w:r>
    </w:p>
    <w:p>
      <w:pPr>
        <w:ind w:left="440"/>
      </w:pPr>
      <w:r>
        <w:t>安全上重要な施設は、当該安全上重要な施設に大きな影響を及ぼすおそれがあると想定される自然現象により当該安全上重要な施設に作用する衝撃及び設計評価事故時に生ずる応力を適切に考慮したものでなければならない。</w:t>
      </w:r>
    </w:p>
    <w:p>
      <w:pPr>
        <w:pStyle w:val="Heading5"/>
        <w:ind w:left="440"/>
      </w:pPr>
      <w:r>
        <w:t>３</w:t>
      </w:r>
    </w:p>
    <w:p>
      <w:pPr>
        <w:ind w:left="440"/>
      </w:pPr>
      <w:r>
        <w:t>使用前検査対象施設は、工場等内又はその周辺において想定される使用前検査対象施設の安全性を損なわせる原因となるおそれがある事象であって人為によるもの（故意によるものを除く。）に対して安全機能を損なわないものでなければならない。</w:t>
      </w:r>
    </w:p>
    <w:p>
      <w:pPr>
        <w:pStyle w:val="Heading4"/>
      </w:pPr>
      <w:r>
        <w:t>第十二条（使用前検査対象施設への人の不法な侵入等の防止）</w:t>
      </w:r>
    </w:p>
    <w:p>
      <w:r>
        <w:t>使用前検査対象施設が設置される工場等には、使用前検査対象施設への人の不法な侵入、使用前検査対象施設に不正に爆発性又は易燃性を有する物件その他人に危害を与え、又は他の物件を損傷するおそれがある物件が持ち込まれることを防止するための設備を設けなければならない。</w:t>
      </w:r>
    </w:p>
    <w:p>
      <w:pPr>
        <w:pStyle w:val="Heading5"/>
        <w:ind w:left="440"/>
      </w:pPr>
      <w:r>
        <w:t>２</w:t>
      </w:r>
    </w:p>
    <w:p>
      <w:pPr>
        <w:ind w:left="440"/>
      </w:pPr>
      <w:r>
        <w:t>使用前検査対象施設が設置される工場等には、必要に応じて、不正アクセス行為（不正アクセス行為の禁止等に関する法律（平成十一年法律第百二十八号）第二条第四項に規定する不正アクセス行為をいう。）を防止するための設備を設けなければならない。</w:t>
      </w:r>
    </w:p>
    <w:p>
      <w:pPr>
        <w:pStyle w:val="Heading4"/>
      </w:pPr>
      <w:r>
        <w:t>第十三条（溢いつ</w:t>
        <w:br/>
        <w:t>水による損傷の防止）</w:t>
      </w:r>
    </w:p>
    <w:p>
      <w:r>
        <w:t>使用前検査対象施設は、その施設内における溢いつ</w:t>
        <w:br/>
        <w:t>水が発生した場合においても安全機能を損なわないものでなければならない。</w:t>
      </w:r>
    </w:p>
    <w:p>
      <w:pPr>
        <w:pStyle w:val="Heading4"/>
      </w:pPr>
      <w:r>
        <w:t>第十四条（化学薬品の漏えいによる損傷の防止）</w:t>
      </w:r>
    </w:p>
    <w:p>
      <w:r>
        <w:t>使用前検査対象施設は、その施設内における化学薬品の漏えいが発生した場合においても安全機能を損なわないものでなければならない。</w:t>
      </w:r>
    </w:p>
    <w:p>
      <w:pPr>
        <w:pStyle w:val="Heading4"/>
      </w:pPr>
      <w:r>
        <w:t>第十五条（飛散物による損傷の防止）</w:t>
      </w:r>
    </w:p>
    <w:p>
      <w:r>
        <w:t>使用前検査対象施設は、その施設内の機器又は配管の損壊に伴う飛散物により、安全機能を損なわないものでなければならない。</w:t>
      </w:r>
    </w:p>
    <w:p>
      <w:pPr>
        <w:pStyle w:val="Heading4"/>
      </w:pPr>
      <w:r>
        <w:t>第十六条（重要度に応じた安全機能の確保）</w:t>
      </w:r>
    </w:p>
    <w:p>
      <w:r>
        <w:t>使用前検査対象施設は、その安全機能の重要度に応じて、その機能が確保されたものでなければならない。</w:t>
      </w:r>
    </w:p>
    <w:p>
      <w:pPr>
        <w:pStyle w:val="Heading5"/>
        <w:ind w:left="440"/>
      </w:pPr>
      <w:r>
        <w:t>２</w:t>
      </w:r>
    </w:p>
    <w:p>
      <w:pPr>
        <w:ind w:left="440"/>
      </w:pPr>
      <w:r>
        <w:t>安全上重要な施設は、機械又は器具の単一故障（単一の原因によって一つの機械又は器具が所定の安全機能を失うこと（従属要因による多重故障を含む。）をいう。）が発生した場合においてもその機能を損なわないものでなければならない。</w:t>
      </w:r>
    </w:p>
    <w:p>
      <w:pPr>
        <w:pStyle w:val="Heading4"/>
      </w:pPr>
      <w:r>
        <w:t>第十七条（環境条件を考慮した設計）</w:t>
      </w:r>
    </w:p>
    <w:p>
      <w:r>
        <w:t>使用前検査対象施設は、通常時及び設計評価事故時に想定される全ての環境条件において、安全機能を発揮することができるものでなければならない。</w:t>
      </w:r>
    </w:p>
    <w:p>
      <w:pPr>
        <w:pStyle w:val="Heading4"/>
      </w:pPr>
      <w:r>
        <w:t>第十八条（検査等を考慮した設計）</w:t>
      </w:r>
    </w:p>
    <w:p>
      <w:r>
        <w:t>使用前検査対象施設は、当該使用前検査対象施設の安全機能を確認するための検査又は試験及び当該安全機能を健全に維持するための保守又は修理ができるものでなければならない。</w:t>
      </w:r>
    </w:p>
    <w:p>
      <w:pPr>
        <w:pStyle w:val="Heading4"/>
      </w:pPr>
      <w:r>
        <w:t>第十九条（使用前検査対象施設の共用）</w:t>
      </w:r>
    </w:p>
    <w:p>
      <w:r>
        <w:t>使用前検査対象施設は、他の原子力施設又は同一の工場等内の他の使用施設等と共用する場合には、使用前検査対象施設の安全性を損なわないものでなければならない。</w:t>
      </w:r>
    </w:p>
    <w:p>
      <w:pPr>
        <w:pStyle w:val="Heading4"/>
      </w:pPr>
      <w:r>
        <w:t>第二十条（誤操作の防止）</w:t>
      </w:r>
    </w:p>
    <w:p>
      <w:r>
        <w:t>使用前検査対象施設は、誤操作を防止するための措置を講じたものでなければならない。</w:t>
      </w:r>
    </w:p>
    <w:p>
      <w:pPr>
        <w:pStyle w:val="Heading5"/>
        <w:ind w:left="440"/>
      </w:pPr>
      <w:r>
        <w:t>２</w:t>
      </w:r>
    </w:p>
    <w:p>
      <w:pPr>
        <w:ind w:left="440"/>
      </w:pPr>
      <w:r>
        <w:t>安全上重要な施設は、容易に操作することができるものでなければならない。</w:t>
      </w:r>
    </w:p>
    <w:p>
      <w:pPr>
        <w:pStyle w:val="Heading4"/>
      </w:pPr>
      <w:r>
        <w:t>第二十一条（安全避難通路等）</w:t>
      </w:r>
    </w:p>
    <w:p>
      <w:r>
        <w:t>使用前検査対象施設には、次に掲げる設備を設けなければならない。</w:t>
      </w:r>
    </w:p>
    <w:p>
      <w:pPr>
        <w:pStyle w:val="Heading6"/>
        <w:ind w:left="880"/>
      </w:pPr>
      <w:r>
        <w:t>一</w:t>
      </w:r>
    </w:p>
    <w:p>
      <w:pPr>
        <w:ind w:left="880"/>
      </w:pPr>
      <w:r>
        <w:t>その位置を明確かつ恒久的に表示することにより容易に識別できる安全避難通路</w:t>
      </w:r>
    </w:p>
    <w:p>
      <w:pPr>
        <w:pStyle w:val="Heading6"/>
        <w:ind w:left="880"/>
      </w:pPr>
      <w:r>
        <w:t>二</w:t>
      </w:r>
    </w:p>
    <w:p>
      <w:pPr>
        <w:ind w:left="880"/>
      </w:pPr>
      <w:r>
        <w:t>照明用の電源が喪失した場合においても機能を損なわない避難用の照明</w:t>
      </w:r>
    </w:p>
    <w:p>
      <w:pPr>
        <w:pStyle w:val="Heading6"/>
        <w:ind w:left="880"/>
      </w:pPr>
      <w:r>
        <w:t>三</w:t>
      </w:r>
    </w:p>
    <w:p>
      <w:pPr>
        <w:ind w:left="880"/>
      </w:pPr>
      <w:r>
        <w:t>設計評価事故が発生した場合に用いる照明（前号の避難用の照明を除く。）及びその専用の電源</w:t>
      </w:r>
    </w:p>
    <w:p>
      <w:pPr>
        <w:pStyle w:val="Heading4"/>
      </w:pPr>
      <w:r>
        <w:t>第二十二条（設計評価事故時の放射線障害の防止）</w:t>
      </w:r>
    </w:p>
    <w:p>
      <w:r>
        <w:t>使用前検査対象施設は、設計評価事故時において、周辺監視区域の外の公衆に放射線障害を及ぼさないものでなければならない。</w:t>
      </w:r>
    </w:p>
    <w:p>
      <w:pPr>
        <w:pStyle w:val="Heading4"/>
      </w:pPr>
      <w:r>
        <w:t>第二十三条（貯蔵施設）</w:t>
      </w:r>
    </w:p>
    <w:p>
      <w:r>
        <w:t>貯蔵施設には、次に掲げるところにより、核燃料物質を貯蔵するための施設又は設備を設けなければならない。</w:t>
      </w:r>
    </w:p>
    <w:p>
      <w:pPr>
        <w:pStyle w:val="Heading6"/>
        <w:ind w:left="880"/>
      </w:pPr>
      <w:r>
        <w:t>一</w:t>
      </w:r>
    </w:p>
    <w:p>
      <w:pPr>
        <w:ind w:left="880"/>
      </w:pPr>
      <w:r>
        <w:t>核燃料物質を貯蔵するために必要な容量を有するものであること。</w:t>
      </w:r>
    </w:p>
    <w:p>
      <w:pPr>
        <w:pStyle w:val="Heading6"/>
        <w:ind w:left="880"/>
      </w:pPr>
      <w:r>
        <w:t>二</w:t>
      </w:r>
    </w:p>
    <w:p>
      <w:pPr>
        <w:ind w:left="880"/>
      </w:pPr>
      <w:r>
        <w:t>核燃料物質を搬出入する場合その他特に必要がある場合を除き、施錠又は立入制限の措置を講じたものであること。</w:t>
      </w:r>
    </w:p>
    <w:p>
      <w:pPr>
        <w:pStyle w:val="Heading6"/>
        <w:ind w:left="880"/>
      </w:pPr>
      <w:r>
        <w:t>三</w:t>
      </w:r>
    </w:p>
    <w:p>
      <w:pPr>
        <w:ind w:left="880"/>
      </w:pPr>
      <w:r>
        <w:t>標識を設けるものであること。</w:t>
      </w:r>
    </w:p>
    <w:p>
      <w:pPr>
        <w:pStyle w:val="Heading5"/>
        <w:ind w:left="440"/>
      </w:pPr>
      <w:r>
        <w:t>２</w:t>
      </w:r>
    </w:p>
    <w:p>
      <w:pPr>
        <w:ind w:left="440"/>
      </w:pPr>
      <w:r>
        <w:t>貯蔵施設には、核燃料物質を冷却する必要がある場合には、冷却するために必要な設備を設けなければならない。</w:t>
      </w:r>
    </w:p>
    <w:p>
      <w:pPr>
        <w:pStyle w:val="Heading4"/>
      </w:pPr>
      <w:r>
        <w:t>第二十四条（廃棄施設）</w:t>
      </w:r>
    </w:p>
    <w:p>
      <w:r>
        <w:t>廃棄施設には、次に掲げるところにより、放射性廃棄物を処理するための施設又は設備を設けなければならない。</w:t>
      </w:r>
    </w:p>
    <w:p>
      <w:pPr>
        <w:pStyle w:val="Heading6"/>
        <w:ind w:left="880"/>
      </w:pPr>
      <w:r>
        <w:t>一</w:t>
      </w:r>
    </w:p>
    <w:p>
      <w:pPr>
        <w:ind w:left="880"/>
      </w:pPr>
      <w:r>
        <w:t>管理区域内の人が常時立ち入る場所及び周辺監視区域の外の空気中の放射性物質の濃度を低減できるよう、使用施設等において発生する放射性廃棄物を処理する能力を有するものであること。</w:t>
      </w:r>
    </w:p>
    <w:p>
      <w:pPr>
        <w:pStyle w:val="Heading6"/>
        <w:ind w:left="880"/>
      </w:pPr>
      <w:r>
        <w:t>二</w:t>
      </w:r>
    </w:p>
    <w:p>
      <w:pPr>
        <w:ind w:left="880"/>
      </w:pPr>
      <w:r>
        <w:t>周辺監視区域の境界における水中の放射性物質の濃度を低減できるよう、使用施設等において発生する放射性廃棄物を処理する能力を有するものであること。</w:t>
      </w:r>
    </w:p>
    <w:p>
      <w:pPr>
        <w:pStyle w:val="Heading5"/>
        <w:ind w:left="440"/>
      </w:pPr>
      <w:r>
        <w:t>２</w:t>
      </w:r>
    </w:p>
    <w:p>
      <w:pPr>
        <w:ind w:left="440"/>
      </w:pPr>
      <w:r>
        <w:t>廃棄施設には、放射性廃棄物を保管廃棄する場合は、次に掲げるところにより、保管廃棄施設を設けなければならない。</w:t>
      </w:r>
    </w:p>
    <w:p>
      <w:pPr>
        <w:pStyle w:val="Heading6"/>
        <w:ind w:left="880"/>
      </w:pPr>
      <w:r>
        <w:t>一</w:t>
      </w:r>
    </w:p>
    <w:p>
      <w:pPr>
        <w:ind w:left="880"/>
      </w:pPr>
      <w:r>
        <w:t>放射性廃棄物を保管廃棄するために必要な容量を有するものであること。</w:t>
      </w:r>
    </w:p>
    <w:p>
      <w:pPr>
        <w:pStyle w:val="Heading6"/>
        <w:ind w:left="880"/>
      </w:pPr>
      <w:r>
        <w:t>二</w:t>
      </w:r>
    </w:p>
    <w:p>
      <w:pPr>
        <w:ind w:left="880"/>
      </w:pPr>
      <w:r>
        <w:t>外部と区画されたものであること。</w:t>
      </w:r>
    </w:p>
    <w:p>
      <w:pPr>
        <w:pStyle w:val="Heading6"/>
        <w:ind w:left="880"/>
      </w:pPr>
      <w:r>
        <w:t>三</w:t>
      </w:r>
    </w:p>
    <w:p>
      <w:pPr>
        <w:ind w:left="880"/>
      </w:pPr>
      <w:r>
        <w:t>放射性廃棄物を冷却する必要がある場合には、冷却するために必要な設備を設けるものであること。</w:t>
      </w:r>
    </w:p>
    <w:p>
      <w:pPr>
        <w:pStyle w:val="Heading6"/>
        <w:ind w:left="880"/>
      </w:pPr>
      <w:r>
        <w:t>四</w:t>
      </w:r>
    </w:p>
    <w:p>
      <w:pPr>
        <w:ind w:left="880"/>
      </w:pPr>
      <w:r>
        <w:t>放射性廃棄物を搬出入する場合その他特に必要がある場合を除き、施錠又は立入制限の措置を講じたものであること。</w:t>
      </w:r>
    </w:p>
    <w:p>
      <w:pPr>
        <w:pStyle w:val="Heading5"/>
        <w:ind w:left="440"/>
      </w:pPr>
      <w:r>
        <w:t>３</w:t>
      </w:r>
    </w:p>
    <w:p>
      <w:pPr>
        <w:ind w:left="440"/>
      </w:pPr>
      <w:r>
        <w:t>放射性廃棄物を廃棄するための施設又は設備には、標識を設けなければならない。</w:t>
      </w:r>
    </w:p>
    <w:p>
      <w:pPr>
        <w:pStyle w:val="Heading4"/>
      </w:pPr>
      <w:r>
        <w:t>第二十五条（汚染を検査するための設備）</w:t>
      </w:r>
    </w:p>
    <w:p>
      <w:r>
        <w:t>密封されていない核燃料物質を使用する場合にあっては、使用施設等には、管理区域内の放射性物質により汚染されるおそれのある場所から退出する者の放射性物質による汚染を検査するために必要な設備を設けなければならない。</w:t>
      </w:r>
    </w:p>
    <w:p>
      <w:pPr>
        <w:pStyle w:val="Heading4"/>
      </w:pPr>
      <w:r>
        <w:t>第二十六条（監視設備）</w:t>
      </w:r>
    </w:p>
    <w:p>
      <w:r>
        <w:t>使用前検査対象施設には、必要に応じて、通常時及び設計評価事故時において、当該使用前検査対象施設及びその境界付近における放射性物質の濃度及び線量を監視し、及び測定し、並びに設計評価事故時における迅速な対応のために必要な情報を適切な場所に表示できる設備を設けなければならない。</w:t>
      </w:r>
    </w:p>
    <w:p>
      <w:pPr>
        <w:pStyle w:val="Heading4"/>
      </w:pPr>
      <w:r>
        <w:t>第二十七条（非常用電源設備）</w:t>
      </w:r>
    </w:p>
    <w:p>
      <w:r>
        <w:t>使用前検査対象施設には、外部電源系統からの電気の供給が停止した場合において、監視設備その他当該使用前検査対象施設の安全機能を確保するために必要な設備を使用することができるように、必要に応じて非常用電源設備を設けなければならない。</w:t>
      </w:r>
    </w:p>
    <w:p>
      <w:pPr>
        <w:pStyle w:val="Heading4"/>
      </w:pPr>
      <w:r>
        <w:t>第二十八条（通信連絡設備等）</w:t>
      </w:r>
    </w:p>
    <w:p>
      <w:r>
        <w:t>使用前検査対象施設が設置される工場等には、設計評価事故が発生した場合において工場等内の人に対し必要な指示ができるよう、警報装置及び通信連絡設備を設けなければならない。</w:t>
      </w:r>
    </w:p>
    <w:p>
      <w:pPr>
        <w:pStyle w:val="Heading5"/>
        <w:ind w:left="440"/>
      </w:pPr>
      <w:r>
        <w:t>２</w:t>
      </w:r>
    </w:p>
    <w:p>
      <w:pPr>
        <w:ind w:left="440"/>
      </w:pPr>
      <w:r>
        <w:t>使用前検査対象施設が設置される工場等には、設計評価事故が発生した場合においてその施設外の通信連絡をする必要がある場所と通信連絡ができるよう、専用通信回線を設けなければならない。</w:t>
      </w:r>
    </w:p>
    <w:p>
      <w:pPr>
        <w:pStyle w:val="Heading5"/>
        <w:ind w:left="440"/>
      </w:pPr>
      <w:r>
        <w:t>３</w:t>
      </w:r>
    </w:p>
    <w:p>
      <w:pPr>
        <w:ind w:left="440"/>
      </w:pPr>
      <w:r>
        <w:t>専用通信回線は、必要に応じて多様性を確保するものでなければならない。</w:t>
      </w:r>
    </w:p>
    <w:p>
      <w:pPr>
        <w:pStyle w:val="Heading4"/>
      </w:pPr>
      <w:r>
        <w:t>第二十九条（多量の放射性物質等を放出する事故の拡大の防止）</w:t>
      </w:r>
    </w:p>
    <w:p>
      <w:r>
        <w:t>使用前検査対象施設は、発生頻度が設計評価事故より低い事故であって、当該使用前検査対象施設から多量の放射性物質又は放射線を放出するおそれがあるものが発生した場合において、当該事故の拡大を防止するために必要な措置を講じたものでなければならない。</w:t>
      </w:r>
    </w:p>
    <w:p>
      <w:r>
        <w:br w:type="page"/>
      </w:r>
    </w:p>
    <w:p>
      <w:pPr>
        <w:pStyle w:val="Heading1"/>
      </w:pPr>
      <w:r>
        <w:t>附　則</w:t>
      </w:r>
    </w:p>
    <w:p>
      <w:r>
        <w:t>この規則は、原子力規制委員会設置法（平成二十四年法律第四十七号）附則第一条第五号に掲げる規定の施行の日（平成二十五年十二月十八日）から施行する。</w:t>
      </w:r>
    </w:p>
    <w:p>
      <w:r>
        <w:br w:type="page"/>
      </w:r>
    </w:p>
    <w:p>
      <w:pPr>
        <w:pStyle w:val="Heading1"/>
      </w:pPr>
      <w:r>
        <w:t>附　則（平成三〇年六月八日原子力規制委員会規則第六号）</w:t>
      </w:r>
    </w:p>
    <w:p>
      <w:r>
        <w:t>この規則は、公布の日から施行する。</w:t>
      </w:r>
    </w:p>
    <w:p>
      <w:r>
        <w:br w:type="page"/>
      </w:r>
    </w:p>
    <w:p>
      <w:pPr>
        <w:pStyle w:val="Heading1"/>
      </w:pPr>
      <w:r>
        <w:t>附　則（令和二年三月一七日原子力規制委員会規則第一二号）</w:t>
      </w:r>
    </w:p>
    <w:p>
      <w:pPr>
        <w:pStyle w:val="Heading4"/>
      </w:pPr>
      <w:r>
        <w:t>第一条（施行期日）</w:t>
      </w:r>
    </w:p>
    <w:p>
      <w:r>
        <w:t>この規則は、原子力利用における安全対策の強化のための核原料物質、核燃料物質及び原子炉の規制に関する法律等の一部を改正する法律第三条の規定の施行の日（令和二年四月一日）から施行する。</w:t>
      </w:r>
    </w:p>
    <w:p>
      <w:pPr>
        <w:pStyle w:val="Heading4"/>
      </w:pPr>
      <w:r>
        <w:t>第二条（核原料物質、核燃料物質及び原子炉の規制に関する法律第六十一条の二十四に規定する指定検査機関等を指定する省令等の廃止）</w:t>
      </w:r>
    </w:p>
    <w:p>
      <w:r>
        <w:t>次に掲げる規則は、廃止する。</w:t>
      </w:r>
    </w:p>
    <w:p>
      <w:pPr>
        <w:pStyle w:val="Heading6"/>
        <w:ind w:left="880"/>
      </w:pPr>
      <w:r>
        <w:t>一</w:t>
      </w:r>
    </w:p>
    <w:p>
      <w:pPr>
        <w:ind w:left="880"/>
      </w:pPr>
      <w:r>
        <w:t>核原料物質、核燃料物質及び原子炉の規制に関する法律第六十一条の二十四に規定する指定検査機関等を指定する省令（平成十三年経済産業省令第百二十四号）</w:t>
      </w:r>
    </w:p>
    <w:p>
      <w:pPr>
        <w:pStyle w:val="Heading6"/>
        <w:ind w:left="880"/>
      </w:pPr>
      <w:r>
        <w:t>二</w:t>
      </w:r>
    </w:p>
    <w:p>
      <w:pPr>
        <w:ind w:left="880"/>
      </w:pPr>
      <w:r>
        <w:t>研究開発段階発電用原子炉に使用する燃料体の技術基準に関する規則（平成二十五年原子力規制委員会規則第十一号）</w:t>
      </w:r>
    </w:p>
    <w:p>
      <w:pPr>
        <w:pStyle w:val="Heading4"/>
      </w:pPr>
      <w:r>
        <w:t>第三条（経過措置）</w:t>
      </w:r>
    </w:p>
    <w:p>
      <w:r>
        <w:t>この規則の施行の際現に設置されている試験研究用等原子炉施設（旧法第四十三条の三の二第二項の廃止措置計画の認可を受けているもの及び旧法第二十九条の施設定期検査（以下この条において単に「施設定期検査」という。）を受けたことがないものを除く。）であって、旧法第二十八条第一項の規定による使用前検査（原子力規制委員会設置法の一部の施行に伴う関係規則の整備等に関する規則（平成二十五年原子力規制委員会規則第十六号。附則第十三条において「平成二十五年整備等規則」という。）第十三条の規定により改正された試験研究の用に供する原子炉等の設計及び工事の方法の技術基準に関する規則（昭和六十二年総理府令第十一号）の規定に係るものに限る。）に合格しているもの（第三項において「新規制基準適合試験研究用等原子炉施設」という。）について、この規則の施行後最初に行うべき新法第二十九条第一項の検査は、直近の施設定期検査が終了した日以降十二月を超えない時期（施行日の前日において施設定期検査を受けている場合にあっては、施行日から十二月を超えない時期）に行うものとする。</w:t>
      </w:r>
    </w:p>
    <w:p>
      <w:pPr>
        <w:pStyle w:val="Heading5"/>
        <w:ind w:left="440"/>
      </w:pPr>
      <w:r>
        <w:t>２</w:t>
      </w:r>
    </w:p>
    <w:p>
      <w:pPr>
        <w:ind w:left="440"/>
      </w:pPr>
      <w:r>
        <w:t>この規則の施行の際現に設置されている試験研究用等原子炉施設であって、旧法第四十三条の三の二第二項の廃止措置計画の認可を受けているものについて、この規則の施行後最初に行うべき新法第二十九条第一項の検査は、施行日から十二月を超えない時期に行うものとする。</w:t>
      </w:r>
    </w:p>
    <w:p>
      <w:pPr>
        <w:pStyle w:val="Heading5"/>
        <w:ind w:left="440"/>
      </w:pPr>
      <w:r>
        <w:t>３</w:t>
      </w:r>
    </w:p>
    <w:p>
      <w:pPr>
        <w:ind w:left="440"/>
      </w:pPr>
      <w:r>
        <w:t>施行日の前日において施設定期検査を受けている試験研究用等原子炉施設（新規制基準適合試験研究用等原子炉施設を除く。）については、この規則の施行後最初に行うべき新法第二十九条第一項の検査は、施行後直ちに行うものとする。</w:t>
      </w:r>
    </w:p>
    <w:p>
      <w:pPr>
        <w:pStyle w:val="Heading4"/>
      </w:pPr>
      <w:r>
        <w:t>第四条</w:t>
      </w:r>
    </w:p>
    <w:p>
      <w:r>
        <w:t>施行日の前日において旧法第十六条の五、第四十六条の二の三又は第五十一条の十の施設定期検査を受けている加工施設、再処理施設又は廃棄物管理施設について、この規則の施行後最初に行うべき新法第十六条の五第一項、第四十六条の二の二第一項又は第五十一条の十第一項の検査は、施行後直ちに行うものとする。</w:t>
      </w:r>
    </w:p>
    <w:p>
      <w:pPr>
        <w:pStyle w:val="Heading4"/>
      </w:pPr>
      <w:r>
        <w:t>第五条</w:t>
      </w:r>
    </w:p>
    <w:p>
      <w:r>
        <w:t>この規則の施行の際現に設置されている発電用原子炉施設（核原料物質、核燃料物質及び原子炉の規制に関する法律施行令（昭和三十二年政令第三百二十四号。第八条第四項において「令」という。）第一条に規定する研究開発段階発電用原子炉（以下単に「研究開発段階発電用原子炉」という。）に係るものに限る。）であって、旧法第四十三条の三の三十四第二項の廃止措置計画の認可を受けているものについて、この規則の施行後最初に行うべき新法第四十三条の三の十六第一項の検査は、直近の施設定期検査（旧法第四十三条の三の十五の施設定期検査をいう。）が終了した日以降十三月を超えない時期に行うものとする。</w:t>
      </w:r>
    </w:p>
    <w:p>
      <w:pPr>
        <w:pStyle w:val="Heading4"/>
      </w:pPr>
      <w:r>
        <w:t>第六条</w:t>
      </w:r>
    </w:p>
    <w:p>
      <w:r>
        <w:t>施行日から令和二年四月三十日までの間に新法第二十九条第一項の検査を開始しようとする者に係る新試験炉規則第三条の十二第二項の規定の適用については、同項中「検査開始予定日の一月前まで（第三条の九第二項の一定の期間（以下この条において単に「一定の期間」という。）を定め、又は変更（一定の期間を短縮する場合を除く。）をした場合は三月前まで）」とあるのは、「この規則の施行の日まで」とする。</w:t>
      </w:r>
    </w:p>
    <w:p>
      <w:pPr>
        <w:pStyle w:val="Heading5"/>
        <w:ind w:left="440"/>
      </w:pPr>
      <w:r>
        <w:t>２</w:t>
      </w:r>
    </w:p>
    <w:p>
      <w:pPr>
        <w:ind w:left="440"/>
      </w:pPr>
      <w:r>
        <w:t>附則第三条第三項又は第四条の規定に基づき施行後直ちに行う検査については、新試験炉規則第三条の十二第二項の規定（同条第一項に規定するときに係るものに限る。）、新加工規則第三条の十三第二項の規定（同条第一項に規定するときに係るものに限る。）、新再処理規則第七条の十二の二第二項の規定（同条第一項に規定するときに係るものに限る。）又は新廃棄物管理規則第十六条第二項の規定（同条第一項に規定するときに係るものに限る。）は、適用しない。</w:t>
      </w:r>
    </w:p>
    <w:p>
      <w:pPr>
        <w:pStyle w:val="Heading4"/>
      </w:pPr>
      <w:r>
        <w:t>第七条</w:t>
      </w:r>
    </w:p>
    <w:p>
      <w:r>
        <w:t>施行日前に旧法第二十一条、第三十四条、第四十三条の三の二十一、第四十七条、第五十一条の十五又は第五十六条の二の規定により記録した旧加工規則第七条第一項、旧試験炉規則第六条第一項、旧研開炉規則第六十二条第一項、旧再処理規則第八条第一項、旧二種埋設規則第十三条第一項、旧廃棄物管理規則第二十六条第一項又は旧核燃料物質使用規則第二条の十一第一項の表の上欄に掲げる事項の保存については、なお従前の例による。</w:t>
      </w:r>
    </w:p>
    <w:p>
      <w:pPr>
        <w:pStyle w:val="Heading4"/>
      </w:pPr>
      <w:r>
        <w:t>第八条</w:t>
      </w:r>
    </w:p>
    <w:p>
      <w:r>
        <w:t>この規則の施行の際現に加工施設若しくは使用済燃料貯蔵施設の設置の工事に着手している者又は旧法第二十二条第一項、第三十七条第一項、第四十三条の三の二十四第一項（研究開発段階発電用原子炉に係るものに限る。）、第五十条第一項、第五十一条の十八第一項若しくは第五十七条第一項の規定により保安規定の認可を受けている者は、令和二年九月三十日までに新法第二十二条第一項、第三十七条第一項、第四十三条の三の二十四第一項、第四十三条の二十第一項、第五十条第一項、第五十一条の十八第一項又は第五十七条第一項に規定する保安規定の認可又は変更の認可を申請しなければならない。</w:t>
      </w:r>
    </w:p>
    <w:p>
      <w:pPr>
        <w:pStyle w:val="Heading5"/>
        <w:ind w:left="440"/>
      </w:pPr>
      <w:r>
        <w:t>２</w:t>
      </w:r>
    </w:p>
    <w:p>
      <w:pPr>
        <w:ind w:left="440"/>
      </w:pPr>
      <w:r>
        <w:t>前項の規定による保安規定の認可又は変更の認可を申請した者が講ずる保安のために必要な措置については、当該申請に係る認可又は認可の拒否の処分のあった日までの間は、新加工規則第七条の二の二から第七条の八まで、新試験炉規則第六条の三から第十四条の二まで、新研開炉規則第六十四条から第八十五条まで、新貯蔵規則第二十八条から第三十五条の二まで、新再処理規則第八条の三から第十六条まで、新二種埋設規則第十三条の三から第十九条の二まで、新廃棄物管理規則第二十六条の三から第三十三条の二まで又は新核燃料物質使用規則第二条の十一の三から第二条の十一の十二までの規定にかかわらず、なお従前の例による。</w:t>
      </w:r>
    </w:p>
    <w:p>
      <w:pPr>
        <w:pStyle w:val="Heading5"/>
        <w:ind w:left="440"/>
      </w:pPr>
      <w:r>
        <w:t>３</w:t>
      </w:r>
    </w:p>
    <w:p>
      <w:pPr>
        <w:ind w:left="440"/>
      </w:pPr>
      <w:r>
        <w:t>第一項又は原子力利用における安全対策の強化のための核原料物質、核燃料物質及び原子炉の規制に関する法律等の一部を改正する法律の一部の施行に伴う実用発電用原子炉に係る原子力規制委員会関係規則の整備等に関する規則（令和二年原子力規制委員会規則第三号）附則第六条第一項の規定による保安規定の認可又は変更の認可を申請した者が講ずる工場又は事業所の外における核燃料物質等の廃棄及び運搬に係る保安のために必要な措置については、当該申請に係る認可又は認可の拒否の処分のあった日までの間は、新外廃棄規則第二条第一項第二号及び第四号並びに第三条第一項第九号並びに新外運搬規則第十七条の二及び第十九条第一項第八号の規定にかかわらず、なお従前の例による。</w:t>
      </w:r>
    </w:p>
    <w:p>
      <w:pPr>
        <w:pStyle w:val="Heading5"/>
        <w:ind w:left="440"/>
      </w:pPr>
      <w:r>
        <w:t>４</w:t>
      </w:r>
    </w:p>
    <w:p>
      <w:pPr>
        <w:ind w:left="440"/>
      </w:pPr>
      <w:r>
        <w:t>この規則の施行の際現に旧法第五十二条第一項の許可を受けている者（令第四十一条各号に掲げる核燃料物質を使用しないものに限る。）が講ずる核燃料物質の使用等並びに工場又は事業所の外における核燃料物質等の廃棄及び運搬に係る保安のために必要な措置については、令和二年九月三十日までの間は、新核燃料物質使用規則第二条の十一の三から第二条の十一の十二まで並びに新外廃棄規則第二条第一項第二号及び第四号並びに第三条第一項第九号並びに新外運搬規則第十七条の二及び第十九条第一項第八号の規定にかかわらず、なお従前の例による。</w:t>
      </w:r>
    </w:p>
    <w:p>
      <w:pPr>
        <w:pStyle w:val="Heading5"/>
        <w:ind w:left="440"/>
      </w:pPr>
      <w:r>
        <w:t>５</w:t>
      </w:r>
    </w:p>
    <w:p>
      <w:pPr>
        <w:ind w:left="440"/>
      </w:pPr>
      <w:r>
        <w:t>新法第五十九条第一項の規定により原子力事業者等から運搬を委託された者が講ずる工場又は事業所の外における核燃料物質等の運搬に係る保安のために必要な措置については、令和二年九月三十日までの間は、新外運搬規則第十七条の二及び第十九条第一項第八号の規定にかかわらず、なお従前の例による。</w:t>
      </w:r>
    </w:p>
    <w:p>
      <w:pPr>
        <w:pStyle w:val="Heading5"/>
        <w:ind w:left="440"/>
      </w:pPr>
      <w:r>
        <w:t>６</w:t>
      </w:r>
    </w:p>
    <w:p>
      <w:pPr>
        <w:ind w:left="440"/>
      </w:pPr>
      <w:r>
        <w:t>前三項の規定によりなお従前の例によることとされる場合における新外廃棄規則第五条及び新外運搬規則第二十条の規定の適用については、新外廃棄規則第五条中「第二条第一項第三号から第八号まで及び第二項」とあるのは「原子力利用における安全対策の強化のための核原料物質、核燃料物質及び原子炉の規制に関する法律等の一部を改正する法律の一部の施行に伴う試験研究用等原子炉施設等に係る原子力規制委員会関係規則の整備等に関する規則（令和二年原子力規制委員会規則第十二号）による改正前の第二条第一項第三号から第七号まで及び第二項」と、新外運搬規則第二十条中「第十七条の二」とあるのは「第十七条」とする。</w:t>
      </w:r>
    </w:p>
    <w:p>
      <w:pPr>
        <w:pStyle w:val="Heading4"/>
      </w:pPr>
      <w:r>
        <w:t>第九条</w:t>
      </w:r>
    </w:p>
    <w:p>
      <w:r>
        <w:t>この規則の施行の際現に旧外運搬規則第二十一条第一項又は第二十三条第二項の規定によりされている申請は、それぞれ新外運搬規則第二十一条第一項又は第二十三条第二項の規定による申請とみなす。</w:t>
      </w:r>
    </w:p>
    <w:p>
      <w:pPr>
        <w:pStyle w:val="Heading4"/>
      </w:pPr>
      <w:r>
        <w:t>第十条</w:t>
      </w:r>
    </w:p>
    <w:p>
      <w:r>
        <w:t>施行日前に旧加工規則第七条の八の二第一項第一号、旧再処理規則第十六条の二第一項第一号又は旧廃棄物管理規則第三十三条の二第二項第一号の規定により行われた評価はそれぞれ新加工規則第七条の四の二第一項、新再処理規則第十一条の二第一項又は新廃棄物管理規則第二十九条の二第一項の規定により行われた評価と、旧加工規則第七条の八の二第一項第二号、旧再処理規則第十六条の二第一項第二号又は旧廃棄物管理規則第三十三条の二第二項第二号の規定により策定された計画はそれぞれ新加工規則第七条の四の二第一項、新再処理規則第十一条の二第一項又は新廃棄物管理規則第二十九条の二第一項の規定により策定された方針と、旧加工規則第七条の八の二第二項の規定により行われた再評価及び当該再評価に基づき策定された計画はそれぞれ新加工規則第七条の四の二第二項の規定により行われた再評価及び当該再評価に基づき策定された方針と、旧試験炉規則第十四条の二第三項の規定により行われた評価及び当該評価に基づき策定された計画はそれぞれ新試験炉規則第九条の二第二項の規定により行われた再評価及び当該再評価に基づき策定された方針とみなす。</w:t>
      </w:r>
    </w:p>
    <w:p>
      <w:pPr>
        <w:pStyle w:val="Heading4"/>
      </w:pPr>
      <w:r>
        <w:t>第十一条</w:t>
      </w:r>
    </w:p>
    <w:p>
      <w:r>
        <w:t>この規則の施行の際現に旧法第二十二条の八第二項、第四十三条の三の二第二項、第四十三条の三の三十四第二項（研究開発段階発電用原子炉に係るものに限る。）、第五十条の五第二項又は第五十七条の五第二項の規定により廃止措置計画の認可を受けている者は、令和二年九月三十日までに新法第二十二条の八第三項、第四十三条の三の二第三項、第四十三条の三の三十四第三項、第五十条の五第三項又は第五十七条の五第三項において読み替えて準用する新法第十二条の六第三項に規定する廃止措置計画の変更の認可（新加工規則第九条の五第一項第五号、第六号及び第十一号並びに第二項第六号及び第九号、新試験炉規則第十六条の六第一項第六号、第七号及び第十二号並びに第二項第五号及び第八号、新研開炉規則第百十一条第一項第十二号及び第二項第九号、新再処理規則第十九条の五第一項第十一号及び第二項第九号又は新核燃料物質使用規則第六条の三第一項第五号、第六号及び第十一号並びに第二項第五号及び第八号に掲げる事項に係るものに限る。）を申請しなければならない。</w:t>
      </w:r>
    </w:p>
    <w:p>
      <w:pPr>
        <w:pStyle w:val="Heading5"/>
        <w:ind w:left="440"/>
      </w:pPr>
      <w:r>
        <w:t>２</w:t>
      </w:r>
    </w:p>
    <w:p>
      <w:pPr>
        <w:ind w:left="440"/>
      </w:pPr>
      <w:r>
        <w:t>前項の規定による廃止措置計画の変更の認可を申請した者に係る廃止措置については、当該申請に係る認可又は認可の拒否の処分のあった日までの間は、新加工規則第九条の五第一項第五号、第六号及び第十一号並びに第二項第六号及び第九号、新試験炉規則第十六条の六第一項第六号、第七号及び第十二号並びに第二項第五号及び第八号、新研開炉規則第百十一条第一項第十二号及び第二項第九号、新再処理規則第十九条の五第一項第十一号及び第二項第九号又は新核燃料物質使用規則第六条の三第一項第五号、第六号及び第十一号並びに第二項第五号及び第八号の規定にかかわらず、なお従前の例による。</w:t>
      </w:r>
    </w:p>
    <w:p>
      <w:pPr>
        <w:pStyle w:val="Heading4"/>
      </w:pPr>
      <w:r>
        <w:t>第十二条</w:t>
      </w:r>
    </w:p>
    <w:p>
      <w:r>
        <w:t>原子力規制委員会設置法の一部の施行に伴う関係規則の整備に関する規則（平成二十五年原子力規制委員会規則第四号）附則第十二条第二項中「新研開炉規則第七十八条から第八十一条まで、第八十七条第一項第二十号から第二十三号まで、同条第三項第十七号から第二十号まで」を「原子力利用における安全対策の強化のための核原料物質、核燃料物質及び原子炉の規制に関する法律等の一部を改正する法律の一部の施行に伴う試験研究用等原子炉施設等に係る原子力規制委員会関係規則の整備等に関する規則（令和二年原子力規制委員会規則第十二号）による改正後の研究開発段階発電用原子炉の設置、運転等に関する規則第七十八条、第八十七条第一項第十六号及び第三項第十六号」に改める。</w:t>
      </w:r>
    </w:p>
    <w:p>
      <w:pPr>
        <w:pStyle w:val="Heading4"/>
      </w:pPr>
      <w:r>
        <w:t>第十三条</w:t>
      </w:r>
    </w:p>
    <w:p>
      <w:r>
        <w:t>平成二十五年整備等規則の一部を次のように改める。</w:t>
      </w:r>
    </w:p>
    <w:p>
      <w:pPr>
        <w:pStyle w:val="Heading4"/>
      </w:pPr>
      <w:r>
        <w:t>第十四条</w:t>
      </w:r>
    </w:p>
    <w:p>
      <w:r>
        <w:t>研究開発段階発電用原子炉の設置、運転等に関する規則等の一部を改正する規則（平成二十九年原子力規制委員会規則第五号。次項において「平成二十九年改正規則」という。）附則第二条第三項及び第四項並びに第三条を削る。</w:t>
      </w:r>
    </w:p>
    <w:p>
      <w:pPr>
        <w:pStyle w:val="Heading5"/>
        <w:ind w:left="440"/>
      </w:pPr>
      <w:r>
        <w:t>２</w:t>
      </w:r>
    </w:p>
    <w:p>
      <w:pPr>
        <w:ind w:left="440"/>
      </w:pPr>
      <w:r>
        <w:t>平成二十九年改正規則附則第二条第三項の規定によりなお従前の例によることとされていた発電用原子炉施設に係る附則第十一条第一項及び第二項の規定の適用については、同条第一項及び第二項中「新研開炉規則第百十一条第一項第十二号及び第二項第九号」とあるのは、「新研開炉規則第百十一条第一項第六号、第七号及び第十二号並びに第二項第六号及び第九号」とする。</w:t>
      </w:r>
    </w:p>
    <w:p>
      <w:pPr>
        <w:pStyle w:val="Heading4"/>
      </w:pPr>
      <w:r>
        <w:t>第十五条</w:t>
      </w:r>
    </w:p>
    <w:p>
      <w:r>
        <w:t>試験研究用等原子炉施設等に対する妨害破壊行為等への対策の強化等のための試験研究の用に供する原子炉等の設置、運転等に関する規則等の一部を改正する規則（平成三十一年原子力規制委員会規則第一号）の一部を次のように改正する。</w:t>
      </w:r>
    </w:p>
    <w:p>
      <w:pPr>
        <w:pStyle w:val="Heading4"/>
      </w:pPr>
      <w:r>
        <w:t>第十六条（定義）</w:t>
      </w:r>
    </w:p>
    <w:p>
      <w:r>
        <w:t>この附則において、次の各号に掲げる用語の意義は、当該各号に定めるところによる。</w:t>
      </w:r>
    </w:p>
    <w:p>
      <w:pPr>
        <w:pStyle w:val="Heading6"/>
        <w:ind w:left="880"/>
      </w:pPr>
      <w:r>
        <w:t>一</w:t>
      </w:r>
    </w:p>
    <w:p>
      <w:pPr>
        <w:ind w:left="880"/>
      </w:pPr>
      <w:r>
        <w:t>旧法</w:t>
      </w:r>
    </w:p>
    <w:p>
      <w:pPr>
        <w:pStyle w:val="Heading6"/>
        <w:ind w:left="880"/>
      </w:pPr>
      <w:r>
        <w:t>二</w:t>
      </w:r>
    </w:p>
    <w:p>
      <w:pPr>
        <w:ind w:left="880"/>
      </w:pPr>
      <w:r>
        <w:t>新法</w:t>
      </w:r>
    </w:p>
    <w:p>
      <w:pPr>
        <w:pStyle w:val="Heading6"/>
        <w:ind w:left="880"/>
      </w:pPr>
      <w:r>
        <w:t>三</w:t>
      </w:r>
    </w:p>
    <w:p>
      <w:pPr>
        <w:ind w:left="880"/>
      </w:pPr>
      <w:r>
        <w:t>旧試験炉規則</w:t>
      </w:r>
    </w:p>
    <w:p>
      <w:pPr>
        <w:pStyle w:val="Heading6"/>
        <w:ind w:left="880"/>
      </w:pPr>
      <w:r>
        <w:t>四</w:t>
      </w:r>
    </w:p>
    <w:p>
      <w:pPr>
        <w:ind w:left="880"/>
      </w:pPr>
      <w:r>
        <w:t>新試験炉規則</w:t>
      </w:r>
    </w:p>
    <w:p>
      <w:pPr>
        <w:pStyle w:val="Heading6"/>
        <w:ind w:left="880"/>
      </w:pPr>
      <w:r>
        <w:t>五</w:t>
      </w:r>
    </w:p>
    <w:p>
      <w:pPr>
        <w:ind w:left="880"/>
      </w:pPr>
      <w:r>
        <w:t>旧核燃料物質使用規則</w:t>
      </w:r>
    </w:p>
    <w:p>
      <w:pPr>
        <w:pStyle w:val="Heading6"/>
        <w:ind w:left="880"/>
      </w:pPr>
      <w:r>
        <w:t>六</w:t>
      </w:r>
    </w:p>
    <w:p>
      <w:pPr>
        <w:ind w:left="880"/>
      </w:pPr>
      <w:r>
        <w:t>新核燃料物質使用規則</w:t>
      </w:r>
    </w:p>
    <w:p>
      <w:pPr>
        <w:pStyle w:val="Heading6"/>
        <w:ind w:left="880"/>
      </w:pPr>
      <w:r>
        <w:t>七</w:t>
      </w:r>
    </w:p>
    <w:p>
      <w:pPr>
        <w:ind w:left="880"/>
      </w:pPr>
      <w:r>
        <w:t>旧加工規則</w:t>
      </w:r>
    </w:p>
    <w:p>
      <w:pPr>
        <w:pStyle w:val="Heading6"/>
        <w:ind w:left="880"/>
      </w:pPr>
      <w:r>
        <w:t>八</w:t>
      </w:r>
    </w:p>
    <w:p>
      <w:pPr>
        <w:ind w:left="880"/>
      </w:pPr>
      <w:r>
        <w:t>新加工規則</w:t>
      </w:r>
    </w:p>
    <w:p>
      <w:pPr>
        <w:pStyle w:val="Heading6"/>
        <w:ind w:left="880"/>
      </w:pPr>
      <w:r>
        <w:t>九</w:t>
      </w:r>
    </w:p>
    <w:p>
      <w:pPr>
        <w:ind w:left="880"/>
      </w:pPr>
      <w:r>
        <w:t>旧再処理規則</w:t>
      </w:r>
    </w:p>
    <w:p>
      <w:pPr>
        <w:pStyle w:val="Heading6"/>
        <w:ind w:left="880"/>
      </w:pPr>
      <w:r>
        <w:t>十</w:t>
      </w:r>
    </w:p>
    <w:p>
      <w:pPr>
        <w:ind w:left="880"/>
      </w:pPr>
      <w:r>
        <w:t>新再処理規則</w:t>
      </w:r>
    </w:p>
    <w:p>
      <w:pPr>
        <w:pStyle w:val="Heading6"/>
        <w:ind w:left="880"/>
      </w:pPr>
      <w:r>
        <w:t>十一</w:t>
      </w:r>
    </w:p>
    <w:p>
      <w:pPr>
        <w:ind w:left="880"/>
      </w:pPr>
      <w:r>
        <w:t>新外廃棄規則</w:t>
      </w:r>
    </w:p>
    <w:p>
      <w:pPr>
        <w:pStyle w:val="Heading6"/>
        <w:ind w:left="880"/>
      </w:pPr>
      <w:r>
        <w:t>十二</w:t>
      </w:r>
    </w:p>
    <w:p>
      <w:pPr>
        <w:ind w:left="880"/>
      </w:pPr>
      <w:r>
        <w:t>旧外運搬規則</w:t>
      </w:r>
    </w:p>
    <w:p>
      <w:pPr>
        <w:pStyle w:val="Heading6"/>
        <w:ind w:left="880"/>
      </w:pPr>
      <w:r>
        <w:t>十三</w:t>
      </w:r>
    </w:p>
    <w:p>
      <w:pPr>
        <w:ind w:left="880"/>
      </w:pPr>
      <w:r>
        <w:t>新外運搬規則</w:t>
      </w:r>
    </w:p>
    <w:p>
      <w:pPr>
        <w:pStyle w:val="Heading6"/>
        <w:ind w:left="880"/>
      </w:pPr>
      <w:r>
        <w:t>十四</w:t>
      </w:r>
    </w:p>
    <w:p>
      <w:pPr>
        <w:ind w:left="880"/>
      </w:pPr>
      <w:r>
        <w:t>旧二種埋設規則</w:t>
      </w:r>
    </w:p>
    <w:p>
      <w:pPr>
        <w:pStyle w:val="Heading6"/>
        <w:ind w:left="880"/>
      </w:pPr>
      <w:r>
        <w:t>十五</w:t>
      </w:r>
    </w:p>
    <w:p>
      <w:pPr>
        <w:ind w:left="880"/>
      </w:pPr>
      <w:r>
        <w:t>新二種埋設規則</w:t>
      </w:r>
    </w:p>
    <w:p>
      <w:pPr>
        <w:pStyle w:val="Heading6"/>
        <w:ind w:left="880"/>
      </w:pPr>
      <w:r>
        <w:t>十六</w:t>
      </w:r>
    </w:p>
    <w:p>
      <w:pPr>
        <w:ind w:left="880"/>
      </w:pPr>
      <w:r>
        <w:t>旧廃棄物管理規則</w:t>
      </w:r>
    </w:p>
    <w:p>
      <w:pPr>
        <w:pStyle w:val="Heading6"/>
        <w:ind w:left="880"/>
      </w:pPr>
      <w:r>
        <w:t>十七</w:t>
      </w:r>
    </w:p>
    <w:p>
      <w:pPr>
        <w:ind w:left="880"/>
      </w:pPr>
      <w:r>
        <w:t>新廃棄物管理規則</w:t>
      </w:r>
    </w:p>
    <w:p>
      <w:pPr>
        <w:pStyle w:val="Heading6"/>
        <w:ind w:left="880"/>
      </w:pPr>
      <w:r>
        <w:t>十八</w:t>
      </w:r>
    </w:p>
    <w:p>
      <w:pPr>
        <w:ind w:left="880"/>
      </w:pPr>
      <w:r>
        <w:t>旧研開炉規則</w:t>
      </w:r>
    </w:p>
    <w:p>
      <w:pPr>
        <w:pStyle w:val="Heading6"/>
        <w:ind w:left="880"/>
      </w:pPr>
      <w:r>
        <w:t>十九</w:t>
      </w:r>
    </w:p>
    <w:p>
      <w:pPr>
        <w:ind w:left="880"/>
      </w:pPr>
      <w:r>
        <w:t>新研開炉規則</w:t>
      </w:r>
    </w:p>
    <w:p>
      <w:pPr>
        <w:pStyle w:val="Heading6"/>
        <w:ind w:left="880"/>
      </w:pPr>
      <w:r>
        <w:t>二十</w:t>
      </w:r>
    </w:p>
    <w:p>
      <w:pPr>
        <w:ind w:left="880"/>
      </w:pPr>
      <w:r>
        <w:t>新貯蔵規則</w:t>
      </w:r>
    </w:p>
    <w:p>
      <w:pPr>
        <w:pStyle w:val="Heading6"/>
        <w:ind w:left="880"/>
      </w:pPr>
      <w:r>
        <w:t>二十一</w:t>
      </w:r>
    </w:p>
    <w:p>
      <w:pPr>
        <w:ind w:left="880"/>
      </w:pPr>
      <w:r>
        <w:t>施行日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使用施設等の位置、構造及び設備の基準に関する規則</w:t>
      <w:br/>
      <w:tab/>
      <w:t>（平成二十五年原子力規制委員会規則第三十四号）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使用施設等の位置、構造及び設備の基準に関する規則（平成二十五年原子力規制委員会規則第三十四号）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