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使用済自動車の再資源化等に関する法律に係る民間事業者等が行う書面の保存等における情報通信の技術の利用に関する法律施行規則</w:t>
        <w:br/>
        <w:t>（平成十七年経済産業省・環境省令第四号）</w:t>
      </w:r>
    </w:p>
    <w:p>
      <w:pPr>
        <w:pStyle w:val="Heading4"/>
      </w:pPr>
      <w:r>
        <w:t>第一条（趣旨）</w:t>
      </w:r>
    </w:p>
    <w:p>
      <w:r>
        <w:t>民間事業者等が、使用済自動車の再資源化等に関する法律（平成十四年法律第八十七号）に係る保存等を、電磁的記録を使用して行う場合については、この省令の定めるところによる。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使用済自動車の再資源化等に関する法律第十六条第五項（同条第七項及び第十八条第八項において準用する場合を含む。）並びに使用済自動車の再資源化等に関する法律施行規則（平成十四年経済産業省・環境省令第七号）第四十七条、第五十七条第二号イ及び第六十二条第二号イ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4"/>
      </w:pPr>
      <w:r>
        <w:t>第五条（法第四条第一項の主務省令で定める作成）</w:t>
      </w:r>
    </w:p>
    <w:p>
      <w:r>
        <w:t>法第四条第一項の主務省令で定める作成は、使用済自動車の再資源化等に関する法律施行規則第十一条、第四十七条、第五十七条第二号イ及び第六十二条第二号イの規定に基づく書面の作成とする。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使用済自動車の再資源化等に関する法律に係る民間事業者等が行う書面の保存等における情報通信の技術の利用に関する法律施行規則</w:t>
      <w:br/>
      <w:tab/>
      <w:t>（平成十七年経済産業省・環境省令第四号）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使用済自動車の再資源化等に関する法律に係る民間事業者等が行う書面の保存等における情報通信の技術の利用に関する法律施行規則（平成十七年経済産業省・環境省令第四号）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