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使用済自動車の再資源化等に関する法律に係る民間事業者等が行う書面の保存等における情報通信の技術の利用に関する法律施行規則</w:t>
        <w:br/>
        <w:t>（平成十七年経済産業省・環境省令第四号）</w:t>
      </w:r>
    </w:p>
    <w:p>
      <w:pPr>
        <w:pStyle w:val="Heading4"/>
      </w:pPr>
      <w:r>
        <w:t>第一条（趣旨）</w:t>
      </w:r>
    </w:p>
    <w:p>
      <w:r>
        <w:t>民間事業者等が、使用済自動車の再資源化等に関する法律（平成十四年法律第八十七号）に係る保存等を、電磁的記録を使用して行う場合については、この省令の定めるところによる。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使用済自動車の再資源化等に関する法律第十六条第五項（同条第七項及び第十八条第八項において準用する場合を含む。）並びに使用済自動車の再資源化等に関する法律施行規則（平成十四年経済産業省・環境省令第七号）第四十七条、第五十七条第二号イ及び第六十二条第二号イ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法第四条第一項の主務省令で定める作成は、使用済自動車の再資源化等に関する法律施行規則第十一条、第四十七条、第五十七条第二号イ及び第六十二条第二号イの規定に基づく書面の作成とする。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使用済自動車の再資源化等に関する法律に係る民間事業者等が行う書面の保存等における情報通信の技術の利用に関する法律施行規則</w:t>
      <w:br/>
      <w:tab/>
      <w:t>（平成十七年経済産業省・環境省令第四号）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使用済自動車の再資源化等に関する法律に係る民間事業者等が行う書面の保存等における情報通信の技術の利用に関する法律施行規則（平成十七年経済産業省・環境省令第四号）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