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保護具の製式</w:t>
        <w:br/>
        <w:t>（昭和三十三年法務省令第九号）</w:t>
      </w:r>
    </w:p>
    <w:p>
      <w:r>
        <w:t>バンド及び遊び革は、表面薄水色の牛革製とし、腕に接する部分は、薄水色のフエルト張りとする。</w:t>
      </w:r>
    </w:p>
    <w:p>
      <w:pPr>
        <w:pStyle w:val="Heading5"/>
        <w:ind w:left="440"/>
      </w:pPr>
    </w:p>
    <w:p>
      <w:pPr>
        <w:ind w:left="440"/>
      </w:pPr>
      <w:r>
        <w:t>尾錠及び遊び金は、薄水色に着色した鉄製とする。</w:t>
      </w:r>
    </w:p>
    <w:p>
      <w:pPr>
        <w:pStyle w:val="Heading5"/>
        <w:ind w:left="440"/>
      </w:pPr>
    </w:p>
    <w:p>
      <w:pPr>
        <w:ind w:left="440"/>
      </w:pPr>
      <w:r>
        <w:t>形状及び寸法は、別図のとおり。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保護具の製式</w:t>
      <w:br/>
      <w:tab/>
      <w:t>（昭和三十三年法務省令第九号）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保護具の製式（昭和三十三年法務省令第九号）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