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信用保証協会法に係る民間事業者等が行う書面の保存等における情報通信の技術の利用に関する法律施行規則</w:t>
        <w:br/>
        <w:t>（平成十七年内閣府・経済産業省令第四号）</w:t>
      </w:r>
    </w:p>
    <w:p>
      <w:pPr>
        <w:pStyle w:val="Heading4"/>
      </w:pPr>
      <w:r>
        <w:t>第一条（趣旨）</w:t>
      </w:r>
    </w:p>
    <w:p>
      <w:r>
        <w:t>民間事業者等が、信用保証協会法（昭和二十八年法律第百九十六号）に係る保存等を、電磁的記録を使用して行う場合については、この命令の定めるところによる。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法第三条第一項の主務省令で定める保存は、信用保証協会法第十五条第一項及び第十七条第一項の規定に基づく書面の保存とする。</w:t>
      </w:r>
    </w:p>
    <w:p>
      <w:pPr>
        <w:pStyle w:val="Heading4"/>
      </w:pPr>
      <w:r>
        <w:t>第四条（電磁的記録による保存）</w:t>
      </w:r>
    </w:p>
    <w:p>
      <w:r>
        <w:t>民間事業者等が、法第三条第一項の規定に基づき、信用保証協会法第十五条第一項及び第十七条第一項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信用保証協会法第十五条第一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法第四条第一項の主務省令で定める作成は、信用保証協会法第十七条第一項の規定に基づく書面の作成とする。</w:t>
      </w:r>
    </w:p>
    <w:p>
      <w:pPr>
        <w:pStyle w:val="Heading4"/>
      </w:pPr>
      <w:r>
        <w:t>第六条（電磁的記録による作成）</w:t>
      </w:r>
    </w:p>
    <w:p>
      <w:r>
        <w:t>民間事業者等が、法第四条第一項の規定に基づき、信用保証協会法第十七条第一項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法第五条第一項の主務省令で定める縦覧等は、信用保証協会法第十五条第二項及び第十七条第二項の規定に基づく書面の縦覧等とする。</w:t>
      </w:r>
    </w:p>
    <w:p>
      <w:pPr>
        <w:pStyle w:val="Heading4"/>
      </w:pPr>
      <w:r>
        <w:t>第八条（電磁的記録による縦覧等）</w:t>
      </w:r>
    </w:p>
    <w:p>
      <w:r>
        <w:t>民間事業者等が、信用保証協会法第十五条第二項及び第十七条第二項の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信用保証協会法に係る民間事業者等が行う書面の保存等における情報通信の技術の利用に関する法律施行規則</w:t>
      <w:br/>
      <w:tab/>
      <w:t>（平成十七年内閣府・経済産業省令第四号）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信用保証協会法に係る民間事業者等が行う書面の保存等における情報通信の技術の利用に関する法律施行規則（平成十七年内閣府・経済産業省令第四号）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