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信託法施行令</w:t>
        <w:br/>
        <w:t>（平成十九年政令第百九十九号）</w:t>
      </w:r>
    </w:p>
    <w:p>
      <w:pPr>
        <w:pStyle w:val="Heading4"/>
      </w:pPr>
      <w:r>
        <w:t>第一条（電磁的方法による通知の承諾等）</w:t>
      </w:r>
    </w:p>
    <w:p>
      <w:r>
        <w:t>信託法第百九条第二項の規定により電磁的方法（同法第百八条第三号に規定する電磁的方法をいう。以下同じ。）により通知を発しようとする者（次項において「通知発出者」という。）は、法務省令で定めるところにより、あらかじめ、当該通知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ったときは、当該相手方に対し、当該通知を電磁的方法によって発してはならない。</w:t>
      </w:r>
    </w:p>
    <w:p>
      <w:pPr>
        <w:pStyle w:val="Heading4"/>
      </w:pPr>
      <w:r>
        <w:t>第二条（書面に記載すべき事項等の電磁的方法による提供の承諾等）</w:t>
      </w:r>
    </w:p>
    <w:p>
      <w:r>
        <w:t>次に掲げる規定に規定する事項を電磁的方法により提供しようとする者（次項において「提供者」という。）は、法務省令で定めるところにより、あらかじめ、当該事項の提供の相手方に対し、その用いる電磁的方法の種類及び内容を示し、書面又は電磁的方法による承諾を得なければならない。</w:t>
      </w:r>
    </w:p>
    <w:p>
      <w:pPr>
        <w:pStyle w:val="Heading6"/>
        <w:ind w:left="880"/>
      </w:pPr>
      <w:r>
        <w:t>一</w:t>
      </w:r>
    </w:p>
    <w:p>
      <w:pPr>
        <w:ind w:left="880"/>
      </w:pPr>
      <w:r>
        <w:t>信託法第百十条第四項</w:t>
      </w:r>
    </w:p>
    <w:p>
      <w:pPr>
        <w:pStyle w:val="Heading6"/>
        <w:ind w:left="880"/>
      </w:pPr>
      <w:r>
        <w:t>二</w:t>
      </w:r>
    </w:p>
    <w:p>
      <w:pPr>
        <w:ind w:left="880"/>
      </w:pPr>
      <w:r>
        <w:t>信託法第百十四条第三項</w:t>
      </w:r>
    </w:p>
    <w:p>
      <w:pPr>
        <w:pStyle w:val="Heading6"/>
        <w:ind w:left="880"/>
      </w:pPr>
      <w:r>
        <w:t>三</w:t>
      </w:r>
    </w:p>
    <w:p>
      <w:pPr>
        <w:ind w:left="880"/>
      </w:pPr>
      <w:r>
        <w:t>信託法第百十六条第一項</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ったときは、当該相手方に対し、当該事項の提供を電磁的方法によってしてはならない。</w:t>
      </w:r>
    </w:p>
    <w:p>
      <w:pPr>
        <w:pStyle w:val="Heading4"/>
      </w:pPr>
      <w:r>
        <w:t>第三条（受益者の定めのない信託の受託者となることができる法人）</w:t>
      </w:r>
    </w:p>
    <w:p>
      <w:r>
        <w:t>信託法附則第三項の政令で定める法人は、国、地方公共団体及び次に掲げる要件のいずれにも該当する法人とする。</w:t>
      </w:r>
    </w:p>
    <w:p>
      <w:pPr>
        <w:pStyle w:val="Heading6"/>
        <w:ind w:left="880"/>
      </w:pPr>
      <w:r>
        <w:t>一</w:t>
      </w:r>
    </w:p>
    <w:p>
      <w:pPr>
        <w:ind w:left="880"/>
      </w:pPr>
      <w:r>
        <w:t>最も遅い事業年度の終了の日（次のイ又はロに掲げる法人にあっては、当該イ又はロに定める日）における純資産の額（貸借対照表上の資産の額から負債の額を控除して得た額をいう。）が五千万円を超えること。</w:t>
      </w:r>
    </w:p>
    <w:p>
      <w:pPr>
        <w:pStyle w:val="Heading6"/>
        <w:ind w:left="880"/>
      </w:pPr>
      <w:r>
        <w:t>二</w:t>
      </w:r>
    </w:p>
    <w:p>
      <w:pPr>
        <w:ind w:left="880"/>
      </w:pPr>
      <w:r>
        <w:t>業務を執行する社員、理事若しくは取締役、執行役、会計参与若しくはその職務を行うべき社員又は監事若しくは監査役（いかなる名称を有する者であるかを問わず、当該法人に対しこれらの者と同等以上の支配力を有するものと認められる者を含む。）のうちに、次のいずれかに該当する者がないこと。</w:t>
      </w:r>
    </w:p>
    <w:p>
      <w:r>
        <w:br w:type="page"/>
      </w:r>
    </w:p>
    <w:p>
      <w:pPr>
        <w:pStyle w:val="Heading1"/>
      </w:pPr>
      <w:r>
        <w:t>附　則</w:t>
      </w:r>
    </w:p>
    <w:p>
      <w:r>
        <w:t>この政令は、信託法の施行の日から施行する。</w:t>
      </w:r>
    </w:p>
    <w:p>
      <w:r>
        <w:br w:type="page"/>
      </w:r>
    </w:p>
    <w:p>
      <w:pPr>
        <w:pStyle w:val="Heading1"/>
      </w:pPr>
      <w:r>
        <w:t>附　則（平成二四年一〇月一七日政令第二五八号）</w:t>
      </w:r>
    </w:p>
    <w:p>
      <w:r>
        <w:t>この政令は、暴力団員による不当な行為の防止等に関する法律の一部を改正する法律の施行の日（平成二十四年十月三十日）から施行する。</w:t>
      </w:r>
    </w:p>
    <w:p>
      <w:r>
        <w:br w:type="page"/>
      </w:r>
    </w:p>
    <w:p>
      <w:pPr>
        <w:pStyle w:val="Heading1"/>
      </w:pPr>
      <w:r>
        <w:t>附　則（平成二六年四月二三日政令第一六六号）</w:t>
      </w:r>
    </w:p>
    <w:p>
      <w:r>
        <w:t>この政令は、法の施行の日（平成二十六年五月二十日）から施行する。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信託法施行令</w:t>
      <w:br/>
      <w:tab/>
      <w:t>（平成十九年政令第百九十九号）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信託法施行令（平成十九年政令第百九十九号）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