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個人情報保護委員会の所管する法令に係る情報通信技術を活用した行政の推進等に関する法律施行規則</w:t>
        <w:br/>
        <w:t>（平成二十六年特定個人情報保護委員会規則第二号）</w:t>
      </w:r>
    </w:p>
    <w:p>
      <w:pPr>
        <w:pStyle w:val="Heading4"/>
      </w:pPr>
      <w:r>
        <w:t>第一条（趣旨）</w:t>
      </w:r>
    </w:p>
    <w:p>
      <w:r>
        <w:t>個人情報保護委員会の所管する法令に係る手続等を、情報通信技術を活用した行政の推進等に関する法律（以下「法」という。）第六条、第七条及び第九条の規定に基づき、電子情報処理組織を使用する方法その他の情報通信技術を利用する方法により行う場合については、他の法令、条例、地方公共団体の規則及び地方公共団体の機関の定める規則に特別の定めのある場合を除くほか、この規則の定めるところによる。</w:t>
      </w:r>
    </w:p>
    <w:p>
      <w:pPr>
        <w:pStyle w:val="Heading5"/>
        <w:ind w:left="440"/>
      </w:pPr>
      <w:r>
        <w:t>２</w:t>
      </w:r>
    </w:p>
    <w:p>
      <w:pPr>
        <w:ind w:left="440"/>
      </w:pPr>
      <w:r>
        <w:t>個人情報保護委員会の所管する法令に係る手続等（法第六条、第七条及び第九条の規定の適用を受けるものを除く。）を、電子情報処理組織を使用する方法その他の情報通信技術を利用する方法により行う場合については、他の法令、条例、地方公共団体の規則及び地方公共団体の機関の定める規則に特別の定めのある場合を除くほか、法及びこの規則の例による。</w:t>
      </w:r>
    </w:p>
    <w:p>
      <w:pPr>
        <w:pStyle w:val="Heading4"/>
      </w:pPr>
      <w:r>
        <w:t>第二条（定義）</w:t>
      </w:r>
    </w:p>
    <w:p>
      <w:r>
        <w:t>この規則において、「法令」とは、法律及び法律に基づく命令（告示を含む。）をいう。</w:t>
      </w:r>
    </w:p>
    <w:p>
      <w:pPr>
        <w:pStyle w:val="Heading5"/>
        <w:ind w:left="440"/>
      </w:pPr>
      <w:r>
        <w:t>２</w:t>
      </w:r>
    </w:p>
    <w:p>
      <w:pPr>
        <w:ind w:left="440"/>
      </w:pPr>
      <w:r>
        <w:t>この規則で使用する用語は、特段の定めがある場合を除くほか、法で使用する用語の例による。</w:t>
      </w:r>
    </w:p>
    <w:p>
      <w:pPr>
        <w:pStyle w:val="Heading5"/>
        <w:ind w:left="440"/>
      </w:pPr>
      <w:r>
        <w:t>３</w:t>
      </w:r>
    </w:p>
    <w:p>
      <w:pPr>
        <w:ind w:left="440"/>
      </w:pPr>
      <w:r>
        <w:t>この規則において、次の各号に掲げる用語の意義は、当該各号に定めるところによる。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当該行政機関等の定める技術的基準に適合するものとを電気通信回線で接続した電子情報処理組織とする</w:t>
      </w:r>
    </w:p>
    <w:p>
      <w:pPr>
        <w:pStyle w:val="Heading4"/>
      </w:pPr>
      <w:r>
        <w:t>第四条（申請等の入力事項等）</w:t>
      </w:r>
    </w:p>
    <w:p>
      <w:r>
        <w:t>法第六条第一項の規定により電子情報処理組織を使用する方法により申請等を行う者は、当該申請等につき規定した法令の規定において書面等に記載すべきこととされている事項を、前条の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r>
    </w:p>
    <w:p>
      <w:pPr>
        <w:pStyle w:val="Heading4"/>
      </w:pPr>
      <w:r>
        <w:t>第五条（申請等のうちに電子情報処理組織を使用する方法により行うことが困難又は著しく不適当と認められる部分がある場合）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4"/>
      </w:pPr>
      <w:r>
        <w:t>第六条（処分通知等に係る電子情報処理組織）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定める技術的基準に適合するものとを電気通信回線で接続した電子情報処理組織とする。</w:t>
      </w:r>
    </w:p>
    <w:p>
      <w:pPr>
        <w:pStyle w:val="Heading4"/>
      </w:pPr>
      <w:r>
        <w:t>第七条（処分通知等の入力事項等）</w:t>
      </w:r>
    </w:p>
    <w:p>
      <w:r>
        <w:t>法第七条第一項の規定により行政機関等が電子情報処理組織を使用する方法により処分通知等を行うときは、当該処分通知等につき規定した法令の規定において書面等に記載すべきこととされている事項を当該行政機関等の使用に係る電子計算機から入力して行うものとする。</w:t>
      </w:r>
    </w:p>
    <w:p>
      <w:pPr>
        <w:pStyle w:val="Heading4"/>
      </w:pPr>
      <w:r>
        <w:t>第八条（処分通知等を受ける旨の表示の方式）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第六条の電子情報処理組織を使用して行う識別番号及び暗証コードの入力</w:t>
      </w:r>
    </w:p>
    <w:p>
      <w:pPr>
        <w:pStyle w:val="Heading6"/>
        <w:ind w:left="880"/>
      </w:pPr>
      <w:r>
        <w:t>二</w:t>
      </w:r>
    </w:p>
    <w:p>
      <w:pPr>
        <w:ind w:left="880"/>
      </w:pPr>
      <w:r>
        <w:t>電子情報処理組織を使用する方法により処分通知等を受けることを希望する旨の行政機関等の定めるところにより行う届出</w:t>
      </w:r>
    </w:p>
    <w:p>
      <w:pPr>
        <w:pStyle w:val="Heading4"/>
      </w:pPr>
      <w:r>
        <w:t>第九条（作成等の方法）</w:t>
      </w:r>
    </w:p>
    <w:p>
      <w:r>
        <w:t>法第九条第一項の規定により行政機関等が電磁的記録により記録の作成等を行う場合においては、当該作成等に係る事項を当該行政機関等の使用に係る電子計算機に備えられたファイルへ記録する方法又は磁気ディスク（これに準ずる方法により一定の事項を確実に記録しておくことができる物を含む。）をもって調製する方法により作成等を行うものとする。</w:t>
      </w:r>
    </w:p>
    <w:p>
      <w:pPr>
        <w:pStyle w:val="Heading4"/>
      </w:pPr>
      <w:r>
        <w:t>第十条（氏名又は名称を明らかにする措置）</w:t>
      </w:r>
    </w:p>
    <w:p>
      <w:r>
        <w:t>法第六条第四項に規定する氏名又は名称を明らかにする措置であって主務省令で定めるものは、電子署名（当該電子署名を行った者を確認するために必要な事項を証する電子証明書が併せて送信されるものに限る。次項において同じ。）又は第四条第二項ただし書に規定する措置とする。</w:t>
      </w:r>
    </w:p>
    <w:p>
      <w:pPr>
        <w:pStyle w:val="Heading5"/>
        <w:ind w:left="440"/>
      </w:pPr>
      <w:r>
        <w:t>２</w:t>
      </w:r>
    </w:p>
    <w:p>
      <w:pPr>
        <w:ind w:left="440"/>
      </w:pPr>
      <w:r>
        <w:t>法第七条第四項に規定する氏名又は名称を明らかにする措置であって主務省令で定めるものは、電子署名とする。</w:t>
      </w:r>
    </w:p>
    <w:p>
      <w:pPr>
        <w:pStyle w:val="Heading4"/>
      </w:pPr>
      <w:r>
        <w:t>第十一条（委任）</w:t>
      </w:r>
    </w:p>
    <w:p>
      <w:r>
        <w:t>この規則又は他の法令に定めるもののほか、電子情報処理組織を使用する方法その他の情報通信技術を利用する方法により行う場合に必要な事項は、行政機関等が定める。</w:t>
      </w:r>
    </w:p>
    <w:p>
      <w:r>
        <w:br w:type="page"/>
      </w:r>
    </w:p>
    <w:p>
      <w:pPr>
        <w:pStyle w:val="Heading1"/>
      </w:pPr>
      <w:r>
        <w:t>附　則</w:t>
      </w:r>
    </w:p>
    <w:p>
      <w:r>
        <w:t>この規則は、公布の日から施行する。</w:t>
      </w:r>
    </w:p>
    <w:p>
      <w:r>
        <w:br w:type="page"/>
      </w:r>
    </w:p>
    <w:p>
      <w:pPr>
        <w:pStyle w:val="Heading1"/>
      </w:pPr>
      <w:r>
        <w:t>附　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　則（令和元年一二月一三日個人情報保護委員会規則第四号）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個人情報保護委員会の所管する法令に係る情報通信技術を活用した行政の推進等に関する法律施行規則</w:t>
      <w:br/>
      <w:tab/>
      <w:t>（平成二十六年特定個人情報保護委員会規則第二号）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個人情報保護委員会の所管する法令に係る情報通信技術を活用した行政の推進等に関する法律施行規則（平成二十六年特定個人情報保護委員会規則第二号）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