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優良田園住宅の建設の促進に関する法律施行令</w:t>
        <w:br/>
        <w:t>（平成十年政令第二百五十四号）</w:t>
      </w:r>
    </w:p>
    <w:p>
      <w:pPr>
        <w:pStyle w:val="Heading4"/>
      </w:pPr>
      <w:r>
        <w:t>第一条（法第二条第一号の政令で定める規模）</w:t>
      </w:r>
    </w:p>
    <w:p>
      <w:r>
        <w:t>優良田園住宅の建設の促進に関する法律（以下「法」という。）第二条第一号の政令で定める規模は、三百平方メートルとする。</w:t>
      </w:r>
    </w:p>
    <w:p>
      <w:pPr>
        <w:pStyle w:val="Heading4"/>
      </w:pPr>
      <w:r>
        <w:t>第二条（法第二条第二号の政令で定める数値）</w:t>
      </w:r>
    </w:p>
    <w:p>
      <w:r>
        <w:t>法第二条第二号の政令で定める数値は、建築面積の敷地面積に対する割合については十分の三、延べ面積の敷地面積に対する割合については十分の五とする。</w:t>
      </w:r>
    </w:p>
    <w:p>
      <w:pPr>
        <w:pStyle w:val="Heading4"/>
      </w:pPr>
      <w:r>
        <w:t>第三条（法第二条第三号の政令で定める階数）</w:t>
      </w:r>
    </w:p>
    <w:p>
      <w:r>
        <w:t>法第二条第三号の政令で定める階数は、三とする。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この政令は、法の施行の日（平成十年七月十五日）から施行する。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優良田園住宅の建設の促進に関する法律施行令</w:t>
      <w:br/>
      <w:tab/>
      <w:t>（平成十年政令第二百五十四号）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優良田園住宅の建設の促進に関する法律施行令（平成十年政令第二百五十四号）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