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元号法</w:t>
        <w:br/>
        <w:t>（昭和五十四年法律第四十三号）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元号は、政令で定める。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元号は、皇位の継承があつた場合に限り改める。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この法律は、公布の日から施行する。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昭和の元号は、本則第一項の規定に基づき定められたものとする。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元号法</w:t>
      <w:br/>
      <w:tab/>
      <w:t>（昭和五十四年法律第四十三号）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元号法（昭和五十四年法律第四十三号）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