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元号法</w:t>
        <w:br/>
        <w:t>（昭和五十四年法律第四十三号）</w:t>
      </w:r>
    </w:p>
    <w:p>
      <w:r>
        <w:t>元号は、政令で定める。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元号は、皇位の継承があつた場合に限り改める。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昭和の元号は、本則第一項の規定に基づき定められたものとする。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元号法</w:t>
      <w:br/>
      <w:tab/>
      <w:t>（昭和五十四年法律第四十三号）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元号法（昭和五十四年法律第四十三号）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